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7B1" w:rsidRPr="003F19CF" w:rsidRDefault="00155469" w:rsidP="00155469">
      <w:pPr>
        <w:jc w:val="center"/>
        <w:rPr>
          <w:rFonts w:ascii="华文中宋" w:eastAsia="华文中宋" w:hAnsi="华文中宋"/>
          <w:b/>
          <w:sz w:val="44"/>
          <w:szCs w:val="44"/>
        </w:rPr>
      </w:pPr>
      <w:r w:rsidRPr="003F19CF">
        <w:rPr>
          <w:rFonts w:ascii="华文中宋" w:eastAsia="华文中宋" w:hAnsi="华文中宋" w:hint="eastAsia"/>
          <w:b/>
          <w:sz w:val="44"/>
          <w:szCs w:val="44"/>
        </w:rPr>
        <w:t>Wind金融终端产品介绍</w:t>
      </w:r>
    </w:p>
    <w:p w:rsidR="00155469" w:rsidRDefault="00155469" w:rsidP="00155469">
      <w:pPr>
        <w:jc w:val="left"/>
        <w:rPr>
          <w:sz w:val="24"/>
          <w:szCs w:val="24"/>
        </w:rPr>
      </w:pPr>
    </w:p>
    <w:p w:rsidR="00155469" w:rsidRPr="003F19CF" w:rsidRDefault="00155469" w:rsidP="00155469">
      <w:pPr>
        <w:jc w:val="left"/>
        <w:rPr>
          <w:rFonts w:ascii="黑体" w:eastAsia="黑体" w:hAnsi="黑体"/>
          <w:sz w:val="32"/>
          <w:szCs w:val="32"/>
        </w:rPr>
      </w:pPr>
      <w:r w:rsidRPr="003F19CF">
        <w:rPr>
          <w:rFonts w:ascii="黑体" w:eastAsia="黑体" w:hAnsi="黑体" w:hint="eastAsia"/>
          <w:sz w:val="32"/>
          <w:szCs w:val="32"/>
        </w:rPr>
        <w:t>一、万得公司简介</w:t>
      </w:r>
    </w:p>
    <w:p w:rsidR="00155469" w:rsidRPr="003F19CF" w:rsidRDefault="00155469" w:rsidP="00155469">
      <w:pPr>
        <w:ind w:firstLineChars="200" w:firstLine="640"/>
        <w:jc w:val="left"/>
        <w:rPr>
          <w:rFonts w:ascii="仿宋" w:eastAsia="仿宋" w:hAnsi="仿宋"/>
          <w:sz w:val="32"/>
          <w:szCs w:val="32"/>
        </w:rPr>
      </w:pPr>
      <w:r w:rsidRPr="003F19CF">
        <w:rPr>
          <w:rFonts w:ascii="仿宋" w:eastAsia="仿宋" w:hAnsi="仿宋" w:hint="eastAsia"/>
          <w:sz w:val="32"/>
          <w:szCs w:val="32"/>
        </w:rPr>
        <w:t>万得信息技术股份有限公司是中国大陆领先的金融数据、信息和软件服务企业，总部位于上海陆家嘴金融中心，在香港、北京、深圳、广州、杭州、成都、</w:t>
      </w:r>
      <w:r w:rsidRPr="003F19CF">
        <w:rPr>
          <w:rFonts w:ascii="仿宋" w:eastAsia="仿宋" w:hAnsi="仿宋" w:hint="eastAsia"/>
          <w:b/>
          <w:bCs/>
          <w:sz w:val="32"/>
          <w:szCs w:val="32"/>
        </w:rPr>
        <w:t>重庆</w:t>
      </w:r>
      <w:r w:rsidRPr="003F19CF">
        <w:rPr>
          <w:rFonts w:ascii="仿宋" w:eastAsia="仿宋" w:hAnsi="仿宋" w:hint="eastAsia"/>
          <w:sz w:val="32"/>
          <w:szCs w:val="32"/>
        </w:rPr>
        <w:t xml:space="preserve">、沈阳、大连、武汉、长沙等地设有20余个分支机构和销售服务中心。 </w:t>
      </w:r>
    </w:p>
    <w:p w:rsidR="00155469" w:rsidRPr="003F19CF" w:rsidRDefault="00155469" w:rsidP="00155469">
      <w:pPr>
        <w:jc w:val="left"/>
        <w:rPr>
          <w:rFonts w:ascii="仿宋" w:eastAsia="仿宋" w:hAnsi="仿宋"/>
          <w:sz w:val="32"/>
          <w:szCs w:val="32"/>
        </w:rPr>
      </w:pPr>
      <w:r w:rsidRPr="003F19CF">
        <w:rPr>
          <w:rFonts w:ascii="仿宋" w:eastAsia="仿宋" w:hAnsi="仿宋" w:hint="eastAsia"/>
          <w:sz w:val="32"/>
          <w:szCs w:val="32"/>
        </w:rPr>
        <w:t xml:space="preserve">    在国内市场，Wind的客户包括</w:t>
      </w:r>
      <w:r w:rsidRPr="003F19CF">
        <w:rPr>
          <w:rFonts w:ascii="仿宋" w:eastAsia="仿宋" w:hAnsi="仿宋" w:hint="eastAsia"/>
          <w:b/>
          <w:bCs/>
          <w:sz w:val="32"/>
          <w:szCs w:val="32"/>
        </w:rPr>
        <w:t>超过90%</w:t>
      </w:r>
      <w:r w:rsidRPr="003F19CF">
        <w:rPr>
          <w:rFonts w:ascii="仿宋" w:eastAsia="仿宋" w:hAnsi="仿宋" w:hint="eastAsia"/>
          <w:sz w:val="32"/>
          <w:szCs w:val="32"/>
        </w:rPr>
        <w:t>的中国证券公司、基金管理公司、保险公司、</w:t>
      </w:r>
      <w:r w:rsidRPr="003F19CF">
        <w:rPr>
          <w:rFonts w:ascii="仿宋" w:eastAsia="仿宋" w:hAnsi="仿宋" w:hint="eastAsia"/>
          <w:bCs/>
          <w:sz w:val="32"/>
          <w:szCs w:val="32"/>
        </w:rPr>
        <w:t>银行</w:t>
      </w:r>
      <w:r w:rsidRPr="003F19CF">
        <w:rPr>
          <w:rFonts w:ascii="仿宋" w:eastAsia="仿宋" w:hAnsi="仿宋" w:hint="eastAsia"/>
          <w:sz w:val="32"/>
          <w:szCs w:val="32"/>
        </w:rPr>
        <w:t>和投资公司以及</w:t>
      </w:r>
      <w:r w:rsidRPr="003F19CF">
        <w:rPr>
          <w:rFonts w:ascii="仿宋" w:eastAsia="仿宋" w:hAnsi="仿宋" w:hint="eastAsia"/>
          <w:b/>
          <w:sz w:val="32"/>
          <w:szCs w:val="32"/>
        </w:rPr>
        <w:t>资产评估机构</w:t>
      </w:r>
      <w:r w:rsidRPr="003F19CF">
        <w:rPr>
          <w:rFonts w:ascii="仿宋" w:eastAsia="仿宋" w:hAnsi="仿宋" w:hint="eastAsia"/>
          <w:sz w:val="32"/>
          <w:szCs w:val="32"/>
        </w:rPr>
        <w:t xml:space="preserve">等金融企业；在国际市场，已经被中国证监会批准的合格境外机构投资者（QFII）中75%的机构是Wind资讯的客户。同时国内多数知名的金融学术研究机构和权威的监管机构也是我们的客户，大量中英文媒体、研究报告、学术论文等经常引用Wind提供的数据。 </w:t>
      </w:r>
    </w:p>
    <w:p w:rsidR="00155469" w:rsidRPr="003F19CF" w:rsidRDefault="00155469" w:rsidP="00155469">
      <w:pPr>
        <w:ind w:firstLine="480"/>
        <w:jc w:val="left"/>
        <w:rPr>
          <w:rFonts w:ascii="仿宋" w:eastAsia="仿宋" w:hAnsi="仿宋"/>
          <w:sz w:val="32"/>
          <w:szCs w:val="32"/>
        </w:rPr>
      </w:pPr>
      <w:r w:rsidRPr="003F19CF">
        <w:rPr>
          <w:rFonts w:ascii="仿宋" w:eastAsia="仿宋" w:hAnsi="仿宋" w:hint="eastAsia"/>
          <w:sz w:val="32"/>
          <w:szCs w:val="32"/>
        </w:rPr>
        <w:t>数据内容涵盖</w:t>
      </w:r>
      <w:r w:rsidRPr="003F19CF">
        <w:rPr>
          <w:rFonts w:ascii="仿宋" w:eastAsia="仿宋" w:hAnsi="仿宋" w:hint="eastAsia"/>
          <w:b/>
          <w:bCs/>
          <w:sz w:val="32"/>
          <w:szCs w:val="32"/>
        </w:rPr>
        <w:t>股票、行业、债券、外汇、保险、期货、金融衍生品、现货交易、宏观经济、财经新闻等领域</w:t>
      </w:r>
      <w:r w:rsidRPr="003F19CF">
        <w:rPr>
          <w:rFonts w:ascii="仿宋" w:eastAsia="仿宋" w:hAnsi="仿宋" w:hint="eastAsia"/>
          <w:sz w:val="32"/>
          <w:szCs w:val="32"/>
        </w:rPr>
        <w:t xml:space="preserve">，新的信息内容及时进行更新以满足机构投资者的需求。针对金融业的投资机构、研究机构、学术机构、监管部门机构等不同类型客户的需求， 精于数据，以数据为起点，Wind紧密跟随金融市场日新月异的发展，不断向新的领域发展，新的产品和服务战略不断在延伸。 </w:t>
      </w:r>
    </w:p>
    <w:p w:rsidR="00155469" w:rsidRPr="003F19CF" w:rsidRDefault="00155469" w:rsidP="00155469">
      <w:pPr>
        <w:jc w:val="left"/>
        <w:rPr>
          <w:rFonts w:ascii="仿宋" w:eastAsia="仿宋" w:hAnsi="仿宋"/>
          <w:sz w:val="32"/>
          <w:szCs w:val="32"/>
        </w:rPr>
      </w:pPr>
    </w:p>
    <w:p w:rsidR="00155469" w:rsidRPr="003F19CF" w:rsidRDefault="00155469" w:rsidP="00155469">
      <w:pPr>
        <w:jc w:val="left"/>
        <w:rPr>
          <w:rFonts w:ascii="黑体" w:eastAsia="黑体" w:hAnsi="黑体"/>
          <w:sz w:val="32"/>
          <w:szCs w:val="32"/>
        </w:rPr>
      </w:pPr>
      <w:r w:rsidRPr="003F19CF">
        <w:rPr>
          <w:rFonts w:ascii="黑体" w:eastAsia="黑体" w:hAnsi="黑体" w:hint="eastAsia"/>
          <w:sz w:val="32"/>
          <w:szCs w:val="32"/>
        </w:rPr>
        <w:lastRenderedPageBreak/>
        <w:t>二、万得产品概述</w:t>
      </w:r>
    </w:p>
    <w:p w:rsidR="00155469" w:rsidRPr="003F19CF" w:rsidRDefault="00155469" w:rsidP="00155469">
      <w:pPr>
        <w:ind w:firstLineChars="200" w:firstLine="640"/>
        <w:jc w:val="left"/>
        <w:rPr>
          <w:rFonts w:ascii="仿宋" w:eastAsia="仿宋" w:hAnsi="仿宋"/>
          <w:b/>
          <w:bCs/>
          <w:sz w:val="32"/>
          <w:szCs w:val="32"/>
        </w:rPr>
      </w:pPr>
      <w:r w:rsidRPr="003F19CF">
        <w:rPr>
          <w:rFonts w:ascii="仿宋" w:eastAsia="仿宋" w:hAnsi="仿宋"/>
          <w:bCs/>
          <w:sz w:val="32"/>
          <w:szCs w:val="32"/>
        </w:rPr>
        <w:t>W</w:t>
      </w:r>
      <w:r w:rsidRPr="003F19CF">
        <w:rPr>
          <w:rFonts w:ascii="仿宋" w:eastAsia="仿宋" w:hAnsi="仿宋" w:hint="eastAsia"/>
          <w:bCs/>
          <w:sz w:val="32"/>
          <w:szCs w:val="32"/>
        </w:rPr>
        <w:t>ind金融终端涵盖</w:t>
      </w:r>
      <w:r w:rsidRPr="003F19CF">
        <w:rPr>
          <w:rFonts w:ascii="仿宋" w:eastAsia="仿宋" w:hAnsi="仿宋" w:hint="eastAsia"/>
          <w:b/>
          <w:bCs/>
          <w:sz w:val="32"/>
          <w:szCs w:val="32"/>
        </w:rPr>
        <w:t xml:space="preserve">宏观/行业数据、中国企业库、债券专题、资产证券化、PPN、企业绩效评价、投融资速递、基准利率速览、多品种研究报告、风险管理、中国土地大全、利率/汇率数据、外汇管理等，并提供3C电话会议、实名制群英会、专业OTC服务平台、及时通讯工具等特色服务。   </w:t>
      </w:r>
    </w:p>
    <w:p w:rsidR="00484459" w:rsidRDefault="00484459" w:rsidP="00484459">
      <w:pPr>
        <w:ind w:firstLineChars="200" w:firstLine="482"/>
        <w:jc w:val="left"/>
        <w:rPr>
          <w:b/>
          <w:bCs/>
          <w:sz w:val="24"/>
          <w:szCs w:val="24"/>
        </w:rPr>
      </w:pPr>
    </w:p>
    <w:p w:rsidR="00484459" w:rsidRPr="003F19CF" w:rsidRDefault="00484459" w:rsidP="00484459">
      <w:pPr>
        <w:jc w:val="left"/>
        <w:rPr>
          <w:rFonts w:ascii="黑体" w:eastAsia="黑体" w:hAnsi="黑体"/>
          <w:bCs/>
          <w:sz w:val="32"/>
          <w:szCs w:val="32"/>
        </w:rPr>
      </w:pPr>
      <w:bookmarkStart w:id="0" w:name="_GoBack"/>
      <w:r w:rsidRPr="003F19CF">
        <w:rPr>
          <w:rFonts w:ascii="黑体" w:eastAsia="黑体" w:hAnsi="黑体" w:hint="eastAsia"/>
          <w:bCs/>
          <w:sz w:val="32"/>
          <w:szCs w:val="32"/>
        </w:rPr>
        <w:t>三、终端模块介绍</w:t>
      </w:r>
    </w:p>
    <w:tbl>
      <w:tblPr>
        <w:tblpPr w:leftFromText="180" w:rightFromText="180" w:vertAnchor="text" w:horzAnchor="margin" w:tblpXSpec="center" w:tblpY="99"/>
        <w:tblW w:w="8387" w:type="dxa"/>
        <w:tblCellMar>
          <w:left w:w="0" w:type="dxa"/>
          <w:right w:w="0" w:type="dxa"/>
        </w:tblCellMar>
        <w:tblLook w:val="04A0" w:firstRow="1" w:lastRow="0" w:firstColumn="1" w:lastColumn="0" w:noHBand="0" w:noVBand="1"/>
      </w:tblPr>
      <w:tblGrid>
        <w:gridCol w:w="516"/>
        <w:gridCol w:w="1200"/>
        <w:gridCol w:w="6671"/>
      </w:tblGrid>
      <w:tr w:rsidR="00484459" w:rsidRPr="00484459" w:rsidTr="005B2C48">
        <w:trPr>
          <w:trHeight w:val="536"/>
        </w:trPr>
        <w:tc>
          <w:tcPr>
            <w:tcW w:w="1716" w:type="dxa"/>
            <w:gridSpan w:val="2"/>
            <w:tcBorders>
              <w:top w:val="single" w:sz="8" w:space="0" w:color="000000"/>
              <w:left w:val="single" w:sz="8" w:space="0" w:color="000000"/>
              <w:bottom w:val="single" w:sz="8" w:space="0" w:color="000000"/>
              <w:right w:val="single" w:sz="8" w:space="0" w:color="000000"/>
            </w:tcBorders>
            <w:shd w:val="clear" w:color="auto" w:fill="B3B3B3"/>
            <w:tcMar>
              <w:top w:w="12" w:type="dxa"/>
              <w:left w:w="108" w:type="dxa"/>
              <w:bottom w:w="0" w:type="dxa"/>
              <w:right w:w="108" w:type="dxa"/>
            </w:tcMar>
            <w:vAlign w:val="center"/>
            <w:hideMark/>
          </w:tcPr>
          <w:bookmarkEnd w:id="0"/>
          <w:p w:rsidR="00484459" w:rsidRPr="00484459" w:rsidRDefault="00484459" w:rsidP="005B6D0E">
            <w:pPr>
              <w:widowControl/>
              <w:jc w:val="center"/>
              <w:textAlignment w:val="baseline"/>
              <w:rPr>
                <w:rFonts w:ascii="Arial" w:eastAsia="宋体" w:hAnsi="Arial" w:cs="Arial"/>
                <w:kern w:val="0"/>
                <w:sz w:val="18"/>
                <w:szCs w:val="18"/>
              </w:rPr>
            </w:pPr>
            <w:r w:rsidRPr="00484459">
              <w:rPr>
                <w:rFonts w:ascii="微软雅黑" w:eastAsia="微软雅黑" w:hAnsi="微软雅黑" w:cs="Arial" w:hint="eastAsia"/>
                <w:b/>
                <w:bCs/>
                <w:color w:val="FF0000"/>
                <w:kern w:val="24"/>
                <w:sz w:val="18"/>
                <w:szCs w:val="18"/>
              </w:rPr>
              <w:t>产品模块</w:t>
            </w:r>
            <w:r w:rsidRPr="00484459">
              <w:rPr>
                <w:rFonts w:ascii="微软雅黑" w:eastAsia="微软雅黑" w:hAnsi="微软雅黑" w:cs="Arial" w:hint="eastAsia"/>
                <w:color w:val="FF0000"/>
                <w:kern w:val="24"/>
                <w:sz w:val="18"/>
                <w:szCs w:val="18"/>
              </w:rPr>
              <w:t xml:space="preserve"> </w:t>
            </w:r>
          </w:p>
        </w:tc>
        <w:tc>
          <w:tcPr>
            <w:tcW w:w="6671" w:type="dxa"/>
            <w:tcBorders>
              <w:top w:val="single" w:sz="8" w:space="0" w:color="000000"/>
              <w:left w:val="single" w:sz="8" w:space="0" w:color="000000"/>
              <w:bottom w:val="single" w:sz="8" w:space="0" w:color="000000"/>
              <w:right w:val="single" w:sz="8" w:space="0" w:color="000000"/>
            </w:tcBorders>
            <w:shd w:val="clear" w:color="auto" w:fill="B3B3B3"/>
            <w:tcMar>
              <w:top w:w="12" w:type="dxa"/>
              <w:left w:w="108" w:type="dxa"/>
              <w:bottom w:w="0" w:type="dxa"/>
              <w:right w:w="108" w:type="dxa"/>
            </w:tcMar>
            <w:vAlign w:val="center"/>
            <w:hideMark/>
          </w:tcPr>
          <w:p w:rsidR="00484459" w:rsidRPr="00484459" w:rsidRDefault="00484459" w:rsidP="005B6D0E">
            <w:pPr>
              <w:widowControl/>
              <w:jc w:val="center"/>
              <w:textAlignment w:val="baseline"/>
              <w:rPr>
                <w:rFonts w:ascii="Arial" w:eastAsia="宋体" w:hAnsi="Arial" w:cs="Arial"/>
                <w:kern w:val="0"/>
                <w:sz w:val="18"/>
                <w:szCs w:val="18"/>
              </w:rPr>
            </w:pPr>
            <w:r w:rsidRPr="00484459">
              <w:rPr>
                <w:rFonts w:ascii="微软雅黑" w:eastAsia="微软雅黑" w:hAnsi="微软雅黑" w:cs="Arial" w:hint="eastAsia"/>
                <w:b/>
                <w:bCs/>
                <w:color w:val="FF0000"/>
                <w:kern w:val="24"/>
                <w:sz w:val="18"/>
                <w:szCs w:val="18"/>
              </w:rPr>
              <w:t>解决方案</w:t>
            </w:r>
            <w:r w:rsidRPr="00484459">
              <w:rPr>
                <w:rFonts w:ascii="微软雅黑" w:eastAsia="微软雅黑" w:hAnsi="微软雅黑" w:cs="Arial" w:hint="eastAsia"/>
                <w:color w:val="FF0000"/>
                <w:kern w:val="24"/>
                <w:sz w:val="18"/>
                <w:szCs w:val="18"/>
              </w:rPr>
              <w:t xml:space="preserve"> </w:t>
            </w:r>
          </w:p>
        </w:tc>
      </w:tr>
      <w:tr w:rsidR="00484459" w:rsidRPr="00484459" w:rsidTr="005B2C48">
        <w:trPr>
          <w:trHeight w:val="679"/>
        </w:trPr>
        <w:tc>
          <w:tcPr>
            <w:tcW w:w="51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Default="00484459" w:rsidP="00484459">
            <w:pPr>
              <w:widowControl/>
              <w:jc w:val="center"/>
              <w:textAlignment w:val="baseline"/>
              <w:rPr>
                <w:rFonts w:ascii="微软雅黑" w:eastAsia="微软雅黑" w:hAnsi="微软雅黑" w:cs="Arial"/>
                <w:b/>
                <w:bCs/>
                <w:color w:val="000000"/>
                <w:kern w:val="24"/>
                <w:sz w:val="18"/>
                <w:szCs w:val="18"/>
              </w:rPr>
            </w:pPr>
            <w:r w:rsidRPr="00484459">
              <w:rPr>
                <w:rFonts w:ascii="微软雅黑" w:eastAsia="微软雅黑" w:hAnsi="微软雅黑" w:cs="Arial" w:hint="eastAsia"/>
                <w:b/>
                <w:bCs/>
                <w:color w:val="000000"/>
                <w:kern w:val="24"/>
                <w:sz w:val="18"/>
                <w:szCs w:val="18"/>
              </w:rPr>
              <w:t>宏观</w:t>
            </w:r>
          </w:p>
          <w:p w:rsidR="00484459" w:rsidRPr="00484459" w:rsidRDefault="00484459" w:rsidP="00484459">
            <w:pPr>
              <w:widowControl/>
              <w:jc w:val="center"/>
              <w:textAlignment w:val="baseline"/>
              <w:rPr>
                <w:rFonts w:ascii="Arial" w:eastAsia="宋体" w:hAnsi="Arial" w:cs="Arial"/>
                <w:kern w:val="0"/>
                <w:sz w:val="18"/>
                <w:szCs w:val="18"/>
              </w:rPr>
            </w:pPr>
            <w:r w:rsidRPr="00484459">
              <w:rPr>
                <w:rFonts w:ascii="微软雅黑" w:eastAsia="微软雅黑" w:hAnsi="微软雅黑" w:cs="Arial" w:hint="eastAsia"/>
                <w:b/>
                <w:bCs/>
                <w:color w:val="000000"/>
                <w:kern w:val="24"/>
                <w:sz w:val="18"/>
                <w:szCs w:val="18"/>
              </w:rPr>
              <w:t>行业</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6D0E">
            <w:pPr>
              <w:widowControl/>
              <w:textAlignment w:val="baseline"/>
              <w:rPr>
                <w:rFonts w:ascii="Arial" w:eastAsia="宋体" w:hAnsi="Arial" w:cs="Arial"/>
                <w:kern w:val="0"/>
                <w:sz w:val="18"/>
                <w:szCs w:val="18"/>
              </w:rPr>
            </w:pPr>
            <w:r w:rsidRPr="00484459">
              <w:rPr>
                <w:rFonts w:ascii="微软雅黑" w:eastAsia="微软雅黑" w:hAnsi="微软雅黑" w:cs="Arial" w:hint="eastAsia"/>
                <w:color w:val="000000"/>
                <w:kern w:val="24"/>
                <w:sz w:val="18"/>
                <w:szCs w:val="18"/>
              </w:rPr>
              <w:t>中国宏观数据</w:t>
            </w:r>
          </w:p>
        </w:tc>
        <w:tc>
          <w:tcPr>
            <w:tcW w:w="6671"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484459">
            <w:pPr>
              <w:widowControl/>
              <w:overflowPunct w:val="0"/>
              <w:ind w:left="187"/>
              <w:textAlignment w:val="baseline"/>
              <w:rPr>
                <w:rFonts w:ascii="Arial" w:eastAsia="宋体" w:hAnsi="Arial" w:cs="Arial"/>
                <w:kern w:val="0"/>
                <w:sz w:val="18"/>
                <w:szCs w:val="18"/>
              </w:rPr>
            </w:pPr>
            <w:r w:rsidRPr="00484459">
              <w:rPr>
                <w:rFonts w:ascii="微软雅黑" w:eastAsia="微软雅黑" w:hAnsi="微软雅黑" w:cs="Times New Roman" w:hint="eastAsia"/>
                <w:color w:val="000000"/>
                <w:kern w:val="24"/>
                <w:sz w:val="18"/>
                <w:szCs w:val="18"/>
              </w:rPr>
              <w:t>指标超过30万条，涵盖国民经济核算、工业、价格指数、对外贸易投资、固定资产投资等15个 领域，范围覆盖31个省、300个地级市和400个县级市。</w:t>
            </w:r>
          </w:p>
        </w:tc>
      </w:tr>
      <w:tr w:rsidR="00484459" w:rsidRPr="00484459" w:rsidTr="005B2C48">
        <w:trPr>
          <w:trHeight w:val="564"/>
        </w:trPr>
        <w:tc>
          <w:tcPr>
            <w:tcW w:w="516"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5B6D0E">
            <w:pPr>
              <w:widowControl/>
              <w:jc w:val="left"/>
              <w:rPr>
                <w:rFonts w:ascii="Arial" w:eastAsia="宋体" w:hAnsi="Arial" w:cs="Arial"/>
                <w:kern w:val="0"/>
                <w:sz w:val="18"/>
                <w:szCs w:val="18"/>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6D0E">
            <w:pPr>
              <w:widowControl/>
              <w:textAlignment w:val="baseline"/>
              <w:rPr>
                <w:rFonts w:ascii="Arial" w:eastAsia="宋体" w:hAnsi="Arial" w:cs="Arial"/>
                <w:kern w:val="0"/>
                <w:sz w:val="18"/>
                <w:szCs w:val="18"/>
              </w:rPr>
            </w:pPr>
            <w:r w:rsidRPr="00484459">
              <w:rPr>
                <w:rFonts w:ascii="微软雅黑" w:eastAsia="微软雅黑" w:hAnsi="微软雅黑" w:cs="Arial" w:hint="eastAsia"/>
                <w:color w:val="000000"/>
                <w:kern w:val="24"/>
                <w:sz w:val="18"/>
                <w:szCs w:val="18"/>
              </w:rPr>
              <w:t>全球宏观数据</w:t>
            </w:r>
          </w:p>
        </w:tc>
        <w:tc>
          <w:tcPr>
            <w:tcW w:w="6671"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484459">
            <w:pPr>
              <w:widowControl/>
              <w:overflowPunct w:val="0"/>
              <w:ind w:left="187"/>
              <w:textAlignment w:val="baseline"/>
              <w:rPr>
                <w:rFonts w:ascii="Arial" w:eastAsia="宋体" w:hAnsi="Arial" w:cs="Arial"/>
                <w:kern w:val="0"/>
                <w:sz w:val="18"/>
                <w:szCs w:val="18"/>
              </w:rPr>
            </w:pPr>
            <w:r w:rsidRPr="00484459">
              <w:rPr>
                <w:rFonts w:ascii="微软雅黑" w:eastAsia="微软雅黑" w:hAnsi="微软雅黑" w:cs="Times New Roman" w:hint="eastAsia"/>
                <w:color w:val="000000"/>
                <w:kern w:val="24"/>
                <w:sz w:val="18"/>
                <w:szCs w:val="18"/>
              </w:rPr>
              <w:t>包括美日欧、港澳台、金砖四国、欧亚美洲等主要国际深度宏观数据，以及国际组织公布的覆盖全球所有国际及地区的重要宏观经济数据。指标超过30万条。</w:t>
            </w:r>
          </w:p>
        </w:tc>
      </w:tr>
      <w:tr w:rsidR="00484459" w:rsidRPr="00484459" w:rsidTr="005B2C48">
        <w:trPr>
          <w:trHeight w:val="743"/>
        </w:trPr>
        <w:tc>
          <w:tcPr>
            <w:tcW w:w="516"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5B6D0E">
            <w:pPr>
              <w:widowControl/>
              <w:jc w:val="left"/>
              <w:rPr>
                <w:rFonts w:ascii="Arial" w:eastAsia="宋体" w:hAnsi="Arial" w:cs="Arial"/>
                <w:kern w:val="0"/>
                <w:sz w:val="18"/>
                <w:szCs w:val="18"/>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6D0E">
            <w:pPr>
              <w:widowControl/>
              <w:textAlignment w:val="baseline"/>
              <w:rPr>
                <w:rFonts w:ascii="Arial" w:eastAsia="宋体" w:hAnsi="Arial" w:cs="Arial"/>
                <w:kern w:val="0"/>
                <w:sz w:val="18"/>
                <w:szCs w:val="18"/>
              </w:rPr>
            </w:pPr>
            <w:r w:rsidRPr="00484459">
              <w:rPr>
                <w:rFonts w:ascii="微软雅黑" w:eastAsia="微软雅黑" w:hAnsi="微软雅黑" w:cs="Arial" w:hint="eastAsia"/>
                <w:color w:val="000000"/>
                <w:kern w:val="24"/>
                <w:sz w:val="18"/>
                <w:szCs w:val="18"/>
              </w:rPr>
              <w:t>行业经济数据</w:t>
            </w:r>
          </w:p>
        </w:tc>
        <w:tc>
          <w:tcPr>
            <w:tcW w:w="6671"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484459">
            <w:pPr>
              <w:widowControl/>
              <w:overflowPunct w:val="0"/>
              <w:ind w:left="187"/>
              <w:textAlignment w:val="baseline"/>
              <w:rPr>
                <w:rFonts w:ascii="Arial" w:eastAsia="宋体" w:hAnsi="Arial" w:cs="Arial"/>
                <w:kern w:val="0"/>
                <w:sz w:val="18"/>
                <w:szCs w:val="18"/>
              </w:rPr>
            </w:pPr>
            <w:r w:rsidRPr="00484459">
              <w:rPr>
                <w:rFonts w:ascii="微软雅黑" w:eastAsia="微软雅黑" w:hAnsi="微软雅黑" w:cs="Times New Roman" w:hint="eastAsia"/>
                <w:color w:val="000000"/>
                <w:kern w:val="24"/>
                <w:sz w:val="18"/>
                <w:szCs w:val="18"/>
              </w:rPr>
              <w:t>覆盖21个大类行业的数据，内容包括价格、产量、销量、进出口量、库存、工业财务指标、重点公司业务数据、衍生数据等。指标超过30万条。</w:t>
            </w:r>
          </w:p>
        </w:tc>
      </w:tr>
      <w:tr w:rsidR="00484459" w:rsidRPr="00484459" w:rsidTr="005B2C48">
        <w:trPr>
          <w:trHeight w:val="632"/>
        </w:trPr>
        <w:tc>
          <w:tcPr>
            <w:tcW w:w="516"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5B6D0E">
            <w:pPr>
              <w:widowControl/>
              <w:jc w:val="left"/>
              <w:rPr>
                <w:rFonts w:ascii="Arial" w:eastAsia="宋体" w:hAnsi="Arial" w:cs="Arial"/>
                <w:kern w:val="0"/>
                <w:sz w:val="18"/>
                <w:szCs w:val="18"/>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6D0E">
            <w:pPr>
              <w:widowControl/>
              <w:textAlignment w:val="baseline"/>
              <w:rPr>
                <w:rFonts w:ascii="Arial" w:eastAsia="宋体" w:hAnsi="Arial" w:cs="Arial"/>
                <w:kern w:val="0"/>
                <w:sz w:val="18"/>
                <w:szCs w:val="18"/>
              </w:rPr>
            </w:pPr>
            <w:r w:rsidRPr="00484459">
              <w:rPr>
                <w:rFonts w:ascii="微软雅黑" w:eastAsia="微软雅黑" w:hAnsi="微软雅黑" w:cs="Arial" w:hint="eastAsia"/>
                <w:color w:val="000000"/>
                <w:kern w:val="24"/>
                <w:sz w:val="18"/>
                <w:szCs w:val="18"/>
              </w:rPr>
              <w:t>宏观预测数据</w:t>
            </w:r>
          </w:p>
        </w:tc>
        <w:tc>
          <w:tcPr>
            <w:tcW w:w="6671"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484459">
            <w:pPr>
              <w:widowControl/>
              <w:overflowPunct w:val="0"/>
              <w:ind w:left="187"/>
              <w:textAlignment w:val="baseline"/>
              <w:rPr>
                <w:rFonts w:ascii="Arial" w:eastAsia="宋体" w:hAnsi="Arial" w:cs="Arial"/>
                <w:kern w:val="0"/>
                <w:sz w:val="18"/>
                <w:szCs w:val="18"/>
              </w:rPr>
            </w:pPr>
            <w:r w:rsidRPr="00484459">
              <w:rPr>
                <w:rFonts w:ascii="微软雅黑" w:eastAsia="微软雅黑" w:hAnsi="微软雅黑" w:cs="Times New Roman" w:hint="eastAsia"/>
                <w:color w:val="000000"/>
                <w:kern w:val="24"/>
                <w:sz w:val="18"/>
                <w:szCs w:val="18"/>
              </w:rPr>
              <w:t>汇集二十多家国内知名机构及十多家海外机构的宏观预测数据；可查看重要经济数据公布时间和重大经济时间发生日期。</w:t>
            </w:r>
          </w:p>
        </w:tc>
      </w:tr>
      <w:tr w:rsidR="00484459" w:rsidRPr="00484459" w:rsidTr="005B2C48">
        <w:trPr>
          <w:trHeight w:val="881"/>
        </w:trPr>
        <w:tc>
          <w:tcPr>
            <w:tcW w:w="516"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5B6D0E">
            <w:pPr>
              <w:widowControl/>
              <w:jc w:val="left"/>
              <w:rPr>
                <w:rFonts w:ascii="Arial" w:eastAsia="宋体" w:hAnsi="Arial" w:cs="Arial"/>
                <w:kern w:val="0"/>
                <w:sz w:val="18"/>
                <w:szCs w:val="18"/>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6D0E">
            <w:pPr>
              <w:widowControl/>
              <w:textAlignment w:val="baseline"/>
              <w:rPr>
                <w:rFonts w:ascii="Arial" w:eastAsia="宋体" w:hAnsi="Arial" w:cs="Arial"/>
                <w:kern w:val="0"/>
                <w:sz w:val="18"/>
                <w:szCs w:val="18"/>
              </w:rPr>
            </w:pPr>
            <w:r w:rsidRPr="00484459">
              <w:rPr>
                <w:rFonts w:ascii="微软雅黑" w:eastAsia="微软雅黑" w:hAnsi="微软雅黑" w:cs="Arial" w:hint="eastAsia"/>
                <w:color w:val="000000"/>
                <w:kern w:val="24"/>
                <w:sz w:val="18"/>
                <w:szCs w:val="18"/>
              </w:rPr>
              <w:t>行业中心</w:t>
            </w:r>
          </w:p>
        </w:tc>
        <w:tc>
          <w:tcPr>
            <w:tcW w:w="6671"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484459">
            <w:pPr>
              <w:widowControl/>
              <w:overflowPunct w:val="0"/>
              <w:ind w:left="187"/>
              <w:textAlignment w:val="baseline"/>
              <w:rPr>
                <w:rFonts w:ascii="Arial" w:eastAsia="宋体" w:hAnsi="Arial" w:cs="Arial"/>
                <w:kern w:val="0"/>
                <w:sz w:val="18"/>
                <w:szCs w:val="18"/>
              </w:rPr>
            </w:pPr>
            <w:r w:rsidRPr="00484459">
              <w:rPr>
                <w:rFonts w:ascii="微软雅黑" w:eastAsia="微软雅黑" w:hAnsi="微软雅黑" w:cs="Times New Roman" w:hint="eastAsia"/>
                <w:color w:val="000000"/>
                <w:kern w:val="24"/>
                <w:sz w:val="18"/>
                <w:szCs w:val="18"/>
              </w:rPr>
              <w:t xml:space="preserve">行业中心（WI）是Wind资讯和券商顶级研究团队强强联合，共同打造的行业研究辅助产品。权威展示行业上下游关系，行业运作逻辑，行业核心数据；揭密行业运作内在规律，为研究与投资的提供有效参考。 </w:t>
            </w:r>
          </w:p>
        </w:tc>
      </w:tr>
    </w:tbl>
    <w:p w:rsidR="00484459" w:rsidRPr="00484459" w:rsidRDefault="00484459" w:rsidP="00484459">
      <w:pPr>
        <w:jc w:val="left"/>
        <w:rPr>
          <w:sz w:val="24"/>
          <w:szCs w:val="24"/>
        </w:rPr>
      </w:pPr>
    </w:p>
    <w:p w:rsidR="00155469" w:rsidRDefault="00155469" w:rsidP="00155469">
      <w:pPr>
        <w:jc w:val="left"/>
        <w:rPr>
          <w:sz w:val="24"/>
          <w:szCs w:val="24"/>
        </w:rPr>
      </w:pPr>
    </w:p>
    <w:p w:rsidR="00484459" w:rsidRDefault="00484459" w:rsidP="00155469">
      <w:pPr>
        <w:jc w:val="left"/>
        <w:rPr>
          <w:sz w:val="24"/>
          <w:szCs w:val="24"/>
        </w:rPr>
      </w:pPr>
    </w:p>
    <w:p w:rsidR="00484459" w:rsidRDefault="00484459" w:rsidP="00155469">
      <w:pPr>
        <w:jc w:val="left"/>
        <w:rPr>
          <w:sz w:val="24"/>
          <w:szCs w:val="24"/>
        </w:rPr>
      </w:pPr>
    </w:p>
    <w:p w:rsidR="00484459" w:rsidRDefault="00484459" w:rsidP="00155469">
      <w:pPr>
        <w:jc w:val="left"/>
        <w:rPr>
          <w:sz w:val="24"/>
          <w:szCs w:val="24"/>
        </w:rPr>
      </w:pPr>
    </w:p>
    <w:p w:rsidR="005B2C48" w:rsidRDefault="005B2C48" w:rsidP="00155469">
      <w:pPr>
        <w:jc w:val="left"/>
        <w:rPr>
          <w:sz w:val="24"/>
          <w:szCs w:val="24"/>
        </w:rPr>
      </w:pPr>
    </w:p>
    <w:tbl>
      <w:tblPr>
        <w:tblW w:w="8364" w:type="dxa"/>
        <w:tblInd w:w="108" w:type="dxa"/>
        <w:tblCellMar>
          <w:left w:w="0" w:type="dxa"/>
          <w:right w:w="0" w:type="dxa"/>
        </w:tblCellMar>
        <w:tblLook w:val="04A0" w:firstRow="1" w:lastRow="0" w:firstColumn="1" w:lastColumn="0" w:noHBand="0" w:noVBand="1"/>
      </w:tblPr>
      <w:tblGrid>
        <w:gridCol w:w="851"/>
        <w:gridCol w:w="1417"/>
        <w:gridCol w:w="6096"/>
      </w:tblGrid>
      <w:tr w:rsidR="00484459" w:rsidRPr="00484459" w:rsidTr="005B2C48">
        <w:trPr>
          <w:trHeight w:val="220"/>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484459">
            <w:pPr>
              <w:widowControl/>
              <w:rPr>
                <w:rFonts w:ascii="Arial" w:eastAsia="宋体" w:hAnsi="Arial" w:cs="Arial"/>
                <w:kern w:val="0"/>
                <w:sz w:val="18"/>
                <w:szCs w:val="18"/>
              </w:rPr>
            </w:pPr>
            <w:r w:rsidRPr="00484459">
              <w:rPr>
                <w:rFonts w:ascii="微软雅黑" w:eastAsia="微软雅黑" w:hAnsi="微软雅黑" w:cs="Arial" w:hint="eastAsia"/>
                <w:b/>
                <w:bCs/>
                <w:color w:val="000000"/>
                <w:sz w:val="18"/>
                <w:szCs w:val="18"/>
              </w:rPr>
              <w:t>新闻资讯</w:t>
            </w:r>
            <w:r w:rsidRPr="00484459">
              <w:rPr>
                <w:rFonts w:ascii="微软雅黑" w:eastAsia="微软雅黑" w:hAnsi="微软雅黑" w:cs="Arial" w:hint="eastAsia"/>
                <w:color w:val="000000"/>
                <w:sz w:val="18"/>
                <w:szCs w:val="18"/>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2C48">
            <w:pPr>
              <w:widowControl/>
              <w:jc w:val="center"/>
              <w:rPr>
                <w:rFonts w:ascii="Arial" w:eastAsia="宋体" w:hAnsi="Arial" w:cs="Arial"/>
                <w:kern w:val="0"/>
                <w:sz w:val="18"/>
                <w:szCs w:val="18"/>
              </w:rPr>
            </w:pPr>
            <w:r w:rsidRPr="00484459">
              <w:rPr>
                <w:rFonts w:ascii="微软雅黑" w:eastAsia="微软雅黑" w:hAnsi="微软雅黑" w:cs="Arial" w:hint="eastAsia"/>
                <w:color w:val="000000"/>
                <w:sz w:val="18"/>
                <w:szCs w:val="18"/>
              </w:rPr>
              <w:t>财经新闻</w:t>
            </w:r>
          </w:p>
        </w:tc>
        <w:tc>
          <w:tcPr>
            <w:tcW w:w="6096"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484459">
            <w:pPr>
              <w:widowControl/>
              <w:rPr>
                <w:rFonts w:ascii="Arial" w:eastAsia="宋体" w:hAnsi="Arial" w:cs="Arial"/>
                <w:kern w:val="0"/>
                <w:sz w:val="18"/>
                <w:szCs w:val="18"/>
              </w:rPr>
            </w:pPr>
            <w:r w:rsidRPr="00484459">
              <w:rPr>
                <w:rFonts w:ascii="微软雅黑" w:eastAsia="微软雅黑" w:hAnsi="微软雅黑" w:cs="Arial" w:hint="eastAsia"/>
                <w:color w:val="000000"/>
                <w:sz w:val="18"/>
                <w:szCs w:val="18"/>
              </w:rPr>
              <w:t>全体24小时实时推送2万多条新闻，近150个子栏目，分类明确，附带订阅和检索功能；第一时间展示，品种齐全，分类准确。实时发布与我们合作150家国内主流研究机构的最新研究成果。同时每周发布wind金融情报所的各行业周报。</w:t>
            </w:r>
          </w:p>
        </w:tc>
      </w:tr>
      <w:tr w:rsidR="00484459" w:rsidRPr="00484459" w:rsidTr="005B2C48">
        <w:trPr>
          <w:trHeight w:val="210"/>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484459">
            <w:pPr>
              <w:widowControl/>
              <w:jc w:val="left"/>
              <w:rPr>
                <w:rFonts w:ascii="Arial" w:eastAsia="宋体" w:hAnsi="Arial" w:cs="Arial"/>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2C48">
            <w:pPr>
              <w:widowControl/>
              <w:jc w:val="center"/>
              <w:rPr>
                <w:rFonts w:ascii="Arial" w:eastAsia="宋体" w:hAnsi="Arial" w:cs="Arial"/>
                <w:kern w:val="0"/>
                <w:sz w:val="18"/>
                <w:szCs w:val="18"/>
              </w:rPr>
            </w:pPr>
            <w:r w:rsidRPr="00484459">
              <w:rPr>
                <w:rFonts w:ascii="微软雅黑" w:eastAsia="微软雅黑" w:hAnsi="微软雅黑" w:cs="Arial" w:hint="eastAsia"/>
                <w:color w:val="000000"/>
                <w:sz w:val="18"/>
                <w:szCs w:val="18"/>
              </w:rPr>
              <w:t>公司公告</w:t>
            </w:r>
          </w:p>
        </w:tc>
        <w:tc>
          <w:tcPr>
            <w:tcW w:w="6096"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484459">
            <w:pPr>
              <w:widowControl/>
              <w:jc w:val="left"/>
              <w:rPr>
                <w:rFonts w:ascii="Arial" w:eastAsia="宋体" w:hAnsi="Arial" w:cs="Arial"/>
                <w:kern w:val="0"/>
                <w:sz w:val="18"/>
                <w:szCs w:val="18"/>
              </w:rPr>
            </w:pPr>
          </w:p>
        </w:tc>
      </w:tr>
      <w:tr w:rsidR="00484459" w:rsidRPr="00484459" w:rsidTr="005B2C48">
        <w:trPr>
          <w:trHeight w:val="211"/>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484459">
            <w:pPr>
              <w:widowControl/>
              <w:jc w:val="left"/>
              <w:rPr>
                <w:rFonts w:ascii="Arial" w:eastAsia="宋体" w:hAnsi="Arial" w:cs="Arial"/>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2C48">
            <w:pPr>
              <w:widowControl/>
              <w:jc w:val="center"/>
              <w:rPr>
                <w:rFonts w:ascii="Arial" w:eastAsia="宋体" w:hAnsi="Arial" w:cs="Arial"/>
                <w:kern w:val="0"/>
                <w:sz w:val="18"/>
                <w:szCs w:val="18"/>
              </w:rPr>
            </w:pPr>
            <w:r w:rsidRPr="00484459">
              <w:rPr>
                <w:rFonts w:ascii="微软雅黑" w:eastAsia="微软雅黑" w:hAnsi="微软雅黑" w:cs="Arial" w:hint="eastAsia"/>
                <w:color w:val="000000"/>
                <w:sz w:val="18"/>
                <w:szCs w:val="18"/>
              </w:rPr>
              <w:t>法律法规</w:t>
            </w:r>
          </w:p>
        </w:tc>
        <w:tc>
          <w:tcPr>
            <w:tcW w:w="6096"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484459">
            <w:pPr>
              <w:widowControl/>
              <w:jc w:val="left"/>
              <w:rPr>
                <w:rFonts w:ascii="Arial" w:eastAsia="宋体" w:hAnsi="Arial" w:cs="Arial"/>
                <w:kern w:val="0"/>
                <w:sz w:val="18"/>
                <w:szCs w:val="18"/>
              </w:rPr>
            </w:pPr>
          </w:p>
        </w:tc>
      </w:tr>
      <w:tr w:rsidR="00484459" w:rsidRPr="00484459" w:rsidTr="005B2C48">
        <w:trPr>
          <w:trHeight w:val="291"/>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484459">
            <w:pPr>
              <w:widowControl/>
              <w:jc w:val="left"/>
              <w:rPr>
                <w:rFonts w:ascii="Arial" w:eastAsia="宋体" w:hAnsi="Arial" w:cs="Arial"/>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2C48">
            <w:pPr>
              <w:widowControl/>
              <w:jc w:val="center"/>
              <w:rPr>
                <w:rFonts w:ascii="Arial" w:eastAsia="宋体" w:hAnsi="Arial" w:cs="Arial"/>
                <w:kern w:val="0"/>
                <w:sz w:val="18"/>
                <w:szCs w:val="18"/>
              </w:rPr>
            </w:pPr>
            <w:r w:rsidRPr="00484459">
              <w:rPr>
                <w:rFonts w:ascii="微软雅黑" w:eastAsia="微软雅黑" w:hAnsi="微软雅黑" w:cs="Arial" w:hint="eastAsia"/>
                <w:color w:val="000000"/>
                <w:sz w:val="18"/>
                <w:szCs w:val="18"/>
              </w:rPr>
              <w:t>研究报告</w:t>
            </w:r>
          </w:p>
        </w:tc>
        <w:tc>
          <w:tcPr>
            <w:tcW w:w="6096"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484459">
            <w:pPr>
              <w:widowControl/>
              <w:jc w:val="left"/>
              <w:rPr>
                <w:rFonts w:ascii="Arial" w:eastAsia="宋体" w:hAnsi="Arial" w:cs="Arial"/>
                <w:kern w:val="0"/>
                <w:sz w:val="18"/>
                <w:szCs w:val="18"/>
              </w:rPr>
            </w:pPr>
          </w:p>
        </w:tc>
      </w:tr>
      <w:tr w:rsidR="00484459" w:rsidRPr="00484459" w:rsidTr="005B2C48">
        <w:trPr>
          <w:trHeight w:val="282"/>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484459">
            <w:pPr>
              <w:widowControl/>
              <w:jc w:val="left"/>
              <w:rPr>
                <w:rFonts w:ascii="Arial" w:eastAsia="宋体" w:hAnsi="Arial" w:cs="Arial"/>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2C48">
            <w:pPr>
              <w:widowControl/>
              <w:jc w:val="center"/>
              <w:rPr>
                <w:rFonts w:ascii="Arial" w:eastAsia="宋体" w:hAnsi="Arial" w:cs="Arial"/>
                <w:kern w:val="0"/>
                <w:sz w:val="18"/>
                <w:szCs w:val="18"/>
              </w:rPr>
            </w:pPr>
            <w:r w:rsidRPr="00484459">
              <w:rPr>
                <w:rFonts w:ascii="微软雅黑" w:eastAsia="微软雅黑" w:hAnsi="微软雅黑" w:cs="Arial" w:hint="eastAsia"/>
                <w:color w:val="000000"/>
                <w:sz w:val="18"/>
                <w:szCs w:val="18"/>
              </w:rPr>
              <w:t>行业周报</w:t>
            </w:r>
          </w:p>
        </w:tc>
        <w:tc>
          <w:tcPr>
            <w:tcW w:w="6096"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484459">
            <w:pPr>
              <w:widowControl/>
              <w:jc w:val="left"/>
              <w:rPr>
                <w:rFonts w:ascii="Arial" w:eastAsia="宋体" w:hAnsi="Arial" w:cs="Arial"/>
                <w:kern w:val="0"/>
                <w:sz w:val="18"/>
                <w:szCs w:val="18"/>
              </w:rPr>
            </w:pPr>
          </w:p>
        </w:tc>
      </w:tr>
      <w:tr w:rsidR="00484459" w:rsidRPr="00484459" w:rsidTr="005B2C48">
        <w:trPr>
          <w:trHeight w:val="370"/>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484459">
            <w:pPr>
              <w:widowControl/>
              <w:rPr>
                <w:rFonts w:ascii="Arial" w:eastAsia="宋体" w:hAnsi="Arial" w:cs="Arial"/>
                <w:kern w:val="0"/>
                <w:sz w:val="18"/>
                <w:szCs w:val="18"/>
              </w:rPr>
            </w:pPr>
            <w:r w:rsidRPr="00484459">
              <w:rPr>
                <w:rFonts w:ascii="微软雅黑" w:eastAsia="微软雅黑" w:hAnsi="微软雅黑" w:cs="Arial" w:hint="eastAsia"/>
                <w:b/>
                <w:bCs/>
                <w:color w:val="000000"/>
                <w:sz w:val="18"/>
                <w:szCs w:val="18"/>
              </w:rPr>
              <w:t>投融资管理</w:t>
            </w:r>
            <w:r w:rsidRPr="00484459">
              <w:rPr>
                <w:rFonts w:ascii="微软雅黑" w:eastAsia="微软雅黑" w:hAnsi="微软雅黑" w:cs="Arial" w:hint="eastAsia"/>
                <w:color w:val="000000"/>
                <w:sz w:val="18"/>
                <w:szCs w:val="18"/>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2C48">
            <w:pPr>
              <w:widowControl/>
              <w:jc w:val="center"/>
              <w:rPr>
                <w:rFonts w:ascii="Arial" w:eastAsia="宋体" w:hAnsi="Arial" w:cs="Arial"/>
                <w:kern w:val="0"/>
                <w:sz w:val="18"/>
                <w:szCs w:val="18"/>
              </w:rPr>
            </w:pPr>
            <w:r w:rsidRPr="00484459">
              <w:rPr>
                <w:rFonts w:ascii="微软雅黑" w:eastAsia="微软雅黑" w:hAnsi="微软雅黑" w:cs="Arial" w:hint="eastAsia"/>
                <w:color w:val="000000"/>
                <w:sz w:val="18"/>
                <w:szCs w:val="18"/>
              </w:rPr>
              <w:t>中国并购库</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484459">
            <w:pPr>
              <w:widowControl/>
              <w:rPr>
                <w:rFonts w:ascii="Arial" w:eastAsia="宋体" w:hAnsi="Arial" w:cs="Arial"/>
                <w:kern w:val="0"/>
                <w:sz w:val="18"/>
                <w:szCs w:val="18"/>
              </w:rPr>
            </w:pPr>
            <w:r w:rsidRPr="00484459">
              <w:rPr>
                <w:rFonts w:ascii="微软雅黑" w:eastAsia="微软雅黑" w:hAnsi="微软雅黑" w:cs="Arial" w:hint="eastAsia"/>
                <w:color w:val="000000"/>
                <w:sz w:val="18"/>
                <w:szCs w:val="18"/>
              </w:rPr>
              <w:t>第一时间推送并购前瞻性情报以及深度的并购资讯，展示所有上市公司参与的并购事件。</w:t>
            </w:r>
          </w:p>
        </w:tc>
      </w:tr>
      <w:tr w:rsidR="00484459" w:rsidRPr="00484459" w:rsidTr="005B2C48">
        <w:trPr>
          <w:trHeight w:val="511"/>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484459">
            <w:pPr>
              <w:widowControl/>
              <w:jc w:val="left"/>
              <w:rPr>
                <w:rFonts w:ascii="Arial" w:eastAsia="宋体" w:hAnsi="Arial" w:cs="Arial"/>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2C48">
            <w:pPr>
              <w:widowControl/>
              <w:jc w:val="center"/>
              <w:rPr>
                <w:rFonts w:ascii="Arial" w:eastAsia="宋体" w:hAnsi="Arial" w:cs="Arial"/>
                <w:kern w:val="0"/>
                <w:sz w:val="18"/>
                <w:szCs w:val="18"/>
              </w:rPr>
            </w:pPr>
            <w:r w:rsidRPr="00484459">
              <w:rPr>
                <w:rFonts w:ascii="微软雅黑" w:eastAsia="微软雅黑" w:hAnsi="微软雅黑" w:cs="Arial" w:hint="eastAsia"/>
                <w:color w:val="000000"/>
                <w:sz w:val="18"/>
                <w:szCs w:val="18"/>
              </w:rPr>
              <w:t>中国企业库</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484459">
            <w:pPr>
              <w:widowControl/>
              <w:rPr>
                <w:rFonts w:ascii="Arial" w:eastAsia="宋体" w:hAnsi="Arial" w:cs="Arial"/>
                <w:kern w:val="0"/>
                <w:sz w:val="18"/>
                <w:szCs w:val="18"/>
              </w:rPr>
            </w:pPr>
            <w:r w:rsidRPr="00484459">
              <w:rPr>
                <w:rFonts w:ascii="微软雅黑" w:eastAsia="微软雅黑" w:hAnsi="微软雅黑" w:cs="Arial" w:hint="eastAsia"/>
                <w:color w:val="000000"/>
                <w:sz w:val="18"/>
                <w:szCs w:val="18"/>
              </w:rPr>
              <w:t>收入全国近3万家企业数据信息，包含企业基本资料、财务信息、历次投融</w:t>
            </w:r>
            <w:r w:rsidRPr="00484459">
              <w:rPr>
                <w:rFonts w:ascii="微软雅黑" w:eastAsia="微软雅黑" w:hAnsi="微软雅黑" w:cs="Arial" w:hint="eastAsia"/>
                <w:color w:val="000000"/>
                <w:sz w:val="18"/>
                <w:szCs w:val="18"/>
              </w:rPr>
              <w:lastRenderedPageBreak/>
              <w:t>资信息、并支持同行同类型企业各种对比统计。</w:t>
            </w:r>
          </w:p>
        </w:tc>
      </w:tr>
      <w:tr w:rsidR="00484459" w:rsidRPr="00484459" w:rsidTr="005B2C48">
        <w:trPr>
          <w:trHeight w:val="511"/>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484459">
            <w:pPr>
              <w:widowControl/>
              <w:jc w:val="left"/>
              <w:rPr>
                <w:rFonts w:ascii="Arial" w:eastAsia="宋体" w:hAnsi="Arial" w:cs="Arial"/>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2C48">
            <w:pPr>
              <w:widowControl/>
              <w:jc w:val="center"/>
              <w:rPr>
                <w:rFonts w:ascii="Arial" w:eastAsia="宋体" w:hAnsi="Arial" w:cs="Arial"/>
                <w:kern w:val="0"/>
                <w:sz w:val="18"/>
                <w:szCs w:val="18"/>
              </w:rPr>
            </w:pPr>
            <w:r w:rsidRPr="00484459">
              <w:rPr>
                <w:rFonts w:ascii="微软雅黑" w:eastAsia="微软雅黑" w:hAnsi="微软雅黑" w:cs="Arial" w:hint="eastAsia"/>
                <w:color w:val="000000"/>
                <w:sz w:val="18"/>
                <w:szCs w:val="18"/>
              </w:rPr>
              <w:t>股权/债券融资</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484459">
            <w:pPr>
              <w:widowControl/>
              <w:rPr>
                <w:rFonts w:ascii="Arial" w:eastAsia="宋体" w:hAnsi="Arial" w:cs="Arial"/>
                <w:kern w:val="0"/>
                <w:sz w:val="18"/>
                <w:szCs w:val="18"/>
              </w:rPr>
            </w:pPr>
            <w:r w:rsidRPr="00484459">
              <w:rPr>
                <w:rFonts w:ascii="微软雅黑" w:eastAsia="微软雅黑" w:hAnsi="微软雅黑" w:cs="Arial" w:hint="eastAsia"/>
                <w:color w:val="000000"/>
                <w:sz w:val="18"/>
                <w:szCs w:val="18"/>
              </w:rPr>
              <w:t>推送上市公司每日最新的融资活动信息，包括IPO、增发、配股、可转债发行等，包括基本资料到整个流程的详细数据。</w:t>
            </w:r>
          </w:p>
        </w:tc>
      </w:tr>
      <w:tr w:rsidR="00484459" w:rsidRPr="00484459" w:rsidTr="005B2C48">
        <w:trPr>
          <w:trHeight w:val="401"/>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84459" w:rsidRPr="00484459" w:rsidRDefault="00484459" w:rsidP="00484459">
            <w:pPr>
              <w:widowControl/>
              <w:jc w:val="left"/>
              <w:rPr>
                <w:rFonts w:ascii="Arial" w:eastAsia="宋体" w:hAnsi="Arial" w:cs="Arial"/>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5B2C48">
            <w:pPr>
              <w:widowControl/>
              <w:jc w:val="center"/>
              <w:rPr>
                <w:rFonts w:ascii="Arial" w:eastAsia="宋体" w:hAnsi="Arial" w:cs="Arial"/>
                <w:kern w:val="0"/>
                <w:sz w:val="18"/>
                <w:szCs w:val="18"/>
              </w:rPr>
            </w:pPr>
            <w:r w:rsidRPr="00484459">
              <w:rPr>
                <w:rFonts w:ascii="微软雅黑" w:eastAsia="微软雅黑" w:hAnsi="微软雅黑" w:cs="Arial" w:hint="eastAsia"/>
                <w:color w:val="000000"/>
                <w:sz w:val="18"/>
                <w:szCs w:val="18"/>
              </w:rPr>
              <w:t>PE/VC数据库</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484459" w:rsidRPr="00484459" w:rsidRDefault="00484459" w:rsidP="00484459">
            <w:pPr>
              <w:widowControl/>
              <w:rPr>
                <w:rFonts w:ascii="Arial" w:eastAsia="宋体" w:hAnsi="Arial" w:cs="Arial"/>
                <w:kern w:val="0"/>
                <w:sz w:val="18"/>
                <w:szCs w:val="18"/>
              </w:rPr>
            </w:pPr>
            <w:r w:rsidRPr="00484459">
              <w:rPr>
                <w:rFonts w:ascii="微软雅黑" w:eastAsia="微软雅黑" w:hAnsi="微软雅黑" w:cs="Arial" w:hint="eastAsia"/>
                <w:color w:val="000000"/>
                <w:sz w:val="18"/>
                <w:szCs w:val="18"/>
              </w:rPr>
              <w:t>5000家以上PE/VC股权投资机构，涵盖企业注册信息，募集、投资、退出情况、更好选择行业整合合作伙伴。</w:t>
            </w:r>
          </w:p>
        </w:tc>
      </w:tr>
    </w:tbl>
    <w:p w:rsidR="00484459" w:rsidRDefault="00484459" w:rsidP="00155469">
      <w:pPr>
        <w:jc w:val="left"/>
        <w:rPr>
          <w:sz w:val="24"/>
          <w:szCs w:val="24"/>
        </w:rPr>
      </w:pPr>
    </w:p>
    <w:tbl>
      <w:tblPr>
        <w:tblW w:w="8360" w:type="dxa"/>
        <w:tblInd w:w="108" w:type="dxa"/>
        <w:tblCellMar>
          <w:left w:w="0" w:type="dxa"/>
          <w:right w:w="0" w:type="dxa"/>
        </w:tblCellMar>
        <w:tblLook w:val="04A0" w:firstRow="1" w:lastRow="0" w:firstColumn="1" w:lastColumn="0" w:noHBand="0" w:noVBand="1"/>
      </w:tblPr>
      <w:tblGrid>
        <w:gridCol w:w="851"/>
        <w:gridCol w:w="1417"/>
        <w:gridCol w:w="6092"/>
      </w:tblGrid>
      <w:tr w:rsidR="005B2C48" w:rsidRPr="005B2C48" w:rsidTr="005B2C48">
        <w:trPr>
          <w:trHeight w:val="750"/>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Arial" w:eastAsia="宋体" w:hAnsi="Arial" w:cs="Arial"/>
                <w:kern w:val="0"/>
                <w:sz w:val="18"/>
                <w:szCs w:val="18"/>
              </w:rPr>
            </w:pPr>
            <w:r w:rsidRPr="005B2C48">
              <w:rPr>
                <w:rFonts w:ascii="微软雅黑" w:eastAsia="微软雅黑" w:hAnsi="微软雅黑" w:cs="Arial" w:hint="eastAsia"/>
                <w:b/>
                <w:bCs/>
                <w:color w:val="000000"/>
                <w:sz w:val="18"/>
                <w:szCs w:val="18"/>
              </w:rPr>
              <w:t>财务管理</w:t>
            </w:r>
            <w:r w:rsidRPr="005B2C48">
              <w:rPr>
                <w:rFonts w:ascii="微软雅黑" w:eastAsia="微软雅黑" w:hAnsi="微软雅黑" w:cs="Arial" w:hint="eastAsia"/>
                <w:color w:val="000000"/>
                <w:sz w:val="18"/>
                <w:szCs w:val="18"/>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jc w:val="center"/>
              <w:rPr>
                <w:rFonts w:ascii="Arial" w:eastAsia="宋体" w:hAnsi="Arial" w:cs="Arial"/>
                <w:kern w:val="0"/>
                <w:sz w:val="18"/>
                <w:szCs w:val="18"/>
              </w:rPr>
            </w:pPr>
            <w:r w:rsidRPr="005B2C48">
              <w:rPr>
                <w:rFonts w:ascii="微软雅黑" w:eastAsia="微软雅黑" w:hAnsi="微软雅黑" w:cs="Arial" w:hint="eastAsia"/>
                <w:color w:val="000000"/>
                <w:sz w:val="18"/>
                <w:szCs w:val="18"/>
              </w:rPr>
              <w:t>财务估值模型</w:t>
            </w:r>
          </w:p>
        </w:tc>
        <w:tc>
          <w:tcPr>
            <w:tcW w:w="6092"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Arial" w:eastAsia="宋体" w:hAnsi="Arial" w:cs="Arial"/>
                <w:kern w:val="0"/>
                <w:sz w:val="18"/>
                <w:szCs w:val="18"/>
              </w:rPr>
            </w:pPr>
            <w:r w:rsidRPr="005B2C48">
              <w:rPr>
                <w:rFonts w:ascii="微软雅黑" w:eastAsia="微软雅黑" w:hAnsi="微软雅黑" w:cs="Arial" w:hint="eastAsia"/>
                <w:color w:val="000000"/>
                <w:sz w:val="18"/>
                <w:szCs w:val="18"/>
              </w:rPr>
              <w:t xml:space="preserve">用于预测上市公司/非上市公司未来若干年的财务预测数据的模型。 </w:t>
            </w:r>
          </w:p>
        </w:tc>
      </w:tr>
      <w:tr w:rsidR="005B2C48" w:rsidRPr="005B2C48" w:rsidTr="005B2C48">
        <w:trPr>
          <w:trHeight w:val="651"/>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jc w:val="center"/>
              <w:rPr>
                <w:rFonts w:ascii="Arial" w:eastAsia="宋体" w:hAnsi="Arial" w:cs="Arial"/>
                <w:kern w:val="0"/>
                <w:sz w:val="18"/>
                <w:szCs w:val="18"/>
              </w:rPr>
            </w:pPr>
            <w:r w:rsidRPr="005B2C48">
              <w:rPr>
                <w:rFonts w:ascii="微软雅黑" w:eastAsia="微软雅黑" w:hAnsi="微软雅黑" w:cs="Arial" w:hint="eastAsia"/>
                <w:color w:val="000000"/>
                <w:sz w:val="18"/>
                <w:szCs w:val="18"/>
              </w:rPr>
              <w:t>同业数据对比</w:t>
            </w:r>
          </w:p>
        </w:tc>
        <w:tc>
          <w:tcPr>
            <w:tcW w:w="6092"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Arial" w:eastAsia="宋体" w:hAnsi="Arial" w:cs="Arial"/>
                <w:kern w:val="0"/>
                <w:sz w:val="18"/>
                <w:szCs w:val="18"/>
              </w:rPr>
            </w:pPr>
            <w:r w:rsidRPr="005B2C48">
              <w:rPr>
                <w:rFonts w:ascii="微软雅黑" w:eastAsia="微软雅黑" w:hAnsi="微软雅黑" w:cs="Arial" w:hint="eastAsia"/>
                <w:color w:val="000000"/>
                <w:sz w:val="18"/>
                <w:szCs w:val="18"/>
              </w:rPr>
              <w:t>通过数据浏览器等功能，可快速查找同业对比数据，用于对标，并可以导出。</w:t>
            </w:r>
          </w:p>
        </w:tc>
      </w:tr>
      <w:tr w:rsidR="005B2C48" w:rsidRPr="005B2C48" w:rsidTr="005B2C48">
        <w:trPr>
          <w:trHeight w:val="635"/>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jc w:val="center"/>
              <w:rPr>
                <w:rFonts w:ascii="Arial" w:eastAsia="宋体" w:hAnsi="Arial" w:cs="Arial"/>
                <w:kern w:val="0"/>
                <w:sz w:val="18"/>
                <w:szCs w:val="18"/>
              </w:rPr>
            </w:pPr>
            <w:r w:rsidRPr="005B2C48">
              <w:rPr>
                <w:rFonts w:ascii="微软雅黑" w:eastAsia="微软雅黑" w:hAnsi="微软雅黑" w:cs="Arial" w:hint="eastAsia"/>
                <w:color w:val="000000"/>
                <w:sz w:val="18"/>
                <w:szCs w:val="18"/>
              </w:rPr>
              <w:t>企业绩效评价</w:t>
            </w:r>
          </w:p>
        </w:tc>
        <w:tc>
          <w:tcPr>
            <w:tcW w:w="6092"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Arial" w:eastAsia="宋体" w:hAnsi="Arial" w:cs="Arial"/>
                <w:kern w:val="0"/>
                <w:sz w:val="18"/>
                <w:szCs w:val="18"/>
              </w:rPr>
            </w:pPr>
            <w:r w:rsidRPr="005B2C48">
              <w:rPr>
                <w:rFonts w:ascii="微软雅黑" w:eastAsia="微软雅黑" w:hAnsi="微软雅黑" w:cs="Arial" w:hint="eastAsia"/>
                <w:color w:val="000000"/>
                <w:sz w:val="18"/>
                <w:szCs w:val="18"/>
              </w:rPr>
              <w:t>来自于国资委的数据，方便对各行业的企业对比企业绩效评价。</w:t>
            </w:r>
          </w:p>
        </w:tc>
      </w:tr>
      <w:tr w:rsidR="005B2C48" w:rsidRPr="005B2C48" w:rsidTr="005B2C48">
        <w:trPr>
          <w:trHeight w:val="750"/>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jc w:val="center"/>
              <w:rPr>
                <w:rFonts w:ascii="Arial" w:eastAsia="宋体" w:hAnsi="Arial" w:cs="Arial"/>
                <w:kern w:val="0"/>
                <w:sz w:val="18"/>
                <w:szCs w:val="18"/>
              </w:rPr>
            </w:pPr>
            <w:r w:rsidRPr="005B2C48">
              <w:rPr>
                <w:rFonts w:ascii="微软雅黑" w:eastAsia="微软雅黑" w:hAnsi="微软雅黑" w:cs="Arial" w:hint="eastAsia"/>
                <w:color w:val="000000"/>
                <w:sz w:val="18"/>
                <w:szCs w:val="18"/>
              </w:rPr>
              <w:t>深度资料F9</w:t>
            </w:r>
          </w:p>
        </w:tc>
        <w:tc>
          <w:tcPr>
            <w:tcW w:w="6092"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Arial" w:eastAsia="宋体" w:hAnsi="Arial" w:cs="Arial"/>
                <w:kern w:val="0"/>
                <w:sz w:val="18"/>
                <w:szCs w:val="18"/>
              </w:rPr>
            </w:pPr>
            <w:r w:rsidRPr="005B2C48">
              <w:rPr>
                <w:rFonts w:ascii="微软雅黑" w:eastAsia="微软雅黑" w:hAnsi="微软雅黑" w:cs="Arial" w:hint="eastAsia"/>
                <w:color w:val="000000"/>
                <w:sz w:val="18"/>
                <w:szCs w:val="18"/>
              </w:rPr>
              <w:t>涵盖全球5000+上市公司深度资料，国内外10000+人民币债券品种。</w:t>
            </w:r>
          </w:p>
        </w:tc>
      </w:tr>
      <w:tr w:rsidR="005B2C48" w:rsidRPr="005B2C48" w:rsidTr="005B2C48">
        <w:trPr>
          <w:trHeight w:val="757"/>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jc w:val="center"/>
              <w:rPr>
                <w:rFonts w:ascii="Arial" w:eastAsia="宋体" w:hAnsi="Arial" w:cs="Arial"/>
                <w:kern w:val="0"/>
                <w:sz w:val="18"/>
                <w:szCs w:val="18"/>
              </w:rPr>
            </w:pPr>
            <w:r w:rsidRPr="005B2C48">
              <w:rPr>
                <w:rFonts w:ascii="微软雅黑" w:eastAsia="微软雅黑" w:hAnsi="微软雅黑" w:cs="Arial" w:hint="eastAsia"/>
                <w:color w:val="000000"/>
                <w:sz w:val="18"/>
                <w:szCs w:val="18"/>
              </w:rPr>
              <w:t>专题统计</w:t>
            </w:r>
          </w:p>
        </w:tc>
        <w:tc>
          <w:tcPr>
            <w:tcW w:w="6092"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Arial" w:eastAsia="宋体" w:hAnsi="Arial" w:cs="Arial"/>
                <w:kern w:val="0"/>
                <w:sz w:val="18"/>
                <w:szCs w:val="18"/>
              </w:rPr>
            </w:pPr>
            <w:r w:rsidRPr="005B2C48">
              <w:rPr>
                <w:rFonts w:ascii="微软雅黑" w:eastAsia="微软雅黑" w:hAnsi="微软雅黑" w:cs="Arial" w:hint="eastAsia"/>
                <w:color w:val="000000"/>
                <w:sz w:val="18"/>
                <w:szCs w:val="18"/>
              </w:rPr>
              <w:t>通过公司财务、公司研究两张报表可以从更多方面关注企业发展，便于多角度的企业对比分析。</w:t>
            </w:r>
          </w:p>
        </w:tc>
      </w:tr>
    </w:tbl>
    <w:p w:rsidR="005B2C48" w:rsidRDefault="005B2C48" w:rsidP="00155469">
      <w:pPr>
        <w:jc w:val="left"/>
        <w:rPr>
          <w:sz w:val="24"/>
          <w:szCs w:val="24"/>
        </w:rPr>
      </w:pPr>
    </w:p>
    <w:tbl>
      <w:tblPr>
        <w:tblW w:w="8326" w:type="dxa"/>
        <w:tblInd w:w="108" w:type="dxa"/>
        <w:tblCellMar>
          <w:left w:w="0" w:type="dxa"/>
          <w:right w:w="0" w:type="dxa"/>
        </w:tblCellMar>
        <w:tblLook w:val="04A0" w:firstRow="1" w:lastRow="0" w:firstColumn="1" w:lastColumn="0" w:noHBand="0" w:noVBand="1"/>
      </w:tblPr>
      <w:tblGrid>
        <w:gridCol w:w="851"/>
        <w:gridCol w:w="1417"/>
        <w:gridCol w:w="6058"/>
      </w:tblGrid>
      <w:tr w:rsidR="005B2C48" w:rsidRPr="005B2C48" w:rsidTr="005B2C48">
        <w:trPr>
          <w:trHeight w:val="357"/>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Arial" w:eastAsia="宋体" w:hAnsi="Arial" w:cs="Arial"/>
                <w:kern w:val="0"/>
                <w:sz w:val="18"/>
                <w:szCs w:val="18"/>
              </w:rPr>
            </w:pPr>
            <w:r w:rsidRPr="005B2C48">
              <w:rPr>
                <w:rFonts w:ascii="微软雅黑" w:eastAsia="微软雅黑" w:hAnsi="微软雅黑" w:cs="Arial" w:hint="eastAsia"/>
                <w:b/>
                <w:bCs/>
                <w:color w:val="000000"/>
                <w:sz w:val="18"/>
                <w:szCs w:val="18"/>
              </w:rPr>
              <w:t>债券模块</w:t>
            </w:r>
            <w:r w:rsidRPr="005B2C48">
              <w:rPr>
                <w:rFonts w:ascii="微软雅黑" w:eastAsia="微软雅黑" w:hAnsi="微软雅黑" w:cs="Arial" w:hint="eastAsia"/>
                <w:color w:val="000000"/>
                <w:sz w:val="18"/>
                <w:szCs w:val="18"/>
              </w:rPr>
              <w:t xml:space="preserve"> </w:t>
            </w:r>
          </w:p>
          <w:p w:rsidR="005B2C48" w:rsidRPr="005B2C48" w:rsidRDefault="005B2C48" w:rsidP="005B2C48">
            <w:pPr>
              <w:widowControl/>
              <w:rPr>
                <w:rFonts w:ascii="Arial" w:eastAsia="宋体" w:hAnsi="Arial" w:cs="Arial"/>
                <w:kern w:val="0"/>
                <w:sz w:val="18"/>
                <w:szCs w:val="18"/>
              </w:rPr>
            </w:pPr>
            <w:r w:rsidRPr="005B2C48">
              <w:rPr>
                <w:rFonts w:ascii="微软雅黑" w:eastAsia="微软雅黑" w:hAnsi="微软雅黑" w:cs="Arial" w:hint="eastAsia"/>
                <w:b/>
                <w:bCs/>
                <w:color w:val="000000"/>
                <w:sz w:val="18"/>
                <w:szCs w:val="18"/>
              </w:rPr>
              <w:t xml:space="preserve"> </w:t>
            </w:r>
            <w:r w:rsidRPr="005B2C48">
              <w:rPr>
                <w:rFonts w:ascii="微软雅黑" w:eastAsia="微软雅黑" w:hAnsi="微软雅黑" w:cs="Arial" w:hint="eastAsia"/>
                <w:color w:val="000000"/>
                <w:sz w:val="18"/>
                <w:szCs w:val="18"/>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Arial" w:eastAsia="宋体" w:hAnsi="Arial" w:cs="Arial"/>
                <w:kern w:val="0"/>
                <w:sz w:val="18"/>
                <w:szCs w:val="18"/>
              </w:rPr>
            </w:pPr>
            <w:r w:rsidRPr="005B2C48">
              <w:rPr>
                <w:rFonts w:ascii="微软雅黑" w:eastAsia="微软雅黑" w:hAnsi="微软雅黑" w:cs="Arial" w:hint="eastAsia"/>
                <w:color w:val="000000"/>
                <w:sz w:val="18"/>
                <w:szCs w:val="18"/>
              </w:rPr>
              <w:t>债券新闻</w:t>
            </w:r>
          </w:p>
        </w:tc>
        <w:tc>
          <w:tcPr>
            <w:tcW w:w="6058"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Arial" w:eastAsia="宋体" w:hAnsi="Arial" w:cs="Arial"/>
                <w:kern w:val="0"/>
                <w:sz w:val="18"/>
                <w:szCs w:val="18"/>
              </w:rPr>
            </w:pPr>
            <w:r w:rsidRPr="005B2C48">
              <w:rPr>
                <w:rFonts w:ascii="微软雅黑" w:eastAsia="微软雅黑" w:hAnsi="微软雅黑" w:cs="Arial" w:hint="eastAsia"/>
                <w:color w:val="000000"/>
                <w:sz w:val="18"/>
                <w:szCs w:val="18"/>
              </w:rPr>
              <w:t>Wind债券模块提供货币市场、现券市场、衍生品市场包括收益率曲线等交易品种的新闻、行情及分析工具。交易资讯(债券新闻与研究报告、债券日历、基准利率速览)、行情报价(银行间市场、交易所市场、货币经纪公司报价)、试算工具(债券计算器BC系列1-6、组合管理)、多维数据(含香港债券)、全新版本专题统计报表、定价分析</w:t>
            </w:r>
          </w:p>
        </w:tc>
      </w:tr>
      <w:tr w:rsidR="005B2C48" w:rsidRPr="005B2C48" w:rsidTr="005B2C48">
        <w:trPr>
          <w:trHeight w:val="449"/>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微软雅黑" w:eastAsia="微软雅黑" w:hAnsi="微软雅黑" w:cs="Arial"/>
                <w:color w:val="000000"/>
                <w:sz w:val="18"/>
                <w:szCs w:val="18"/>
              </w:rPr>
            </w:pPr>
            <w:r w:rsidRPr="005B2C48">
              <w:rPr>
                <w:rFonts w:ascii="微软雅黑" w:eastAsia="微软雅黑" w:hAnsi="微软雅黑" w:cs="Arial" w:hint="eastAsia"/>
                <w:color w:val="000000"/>
                <w:sz w:val="18"/>
                <w:szCs w:val="18"/>
              </w:rPr>
              <w:t>利率分析</w:t>
            </w:r>
          </w:p>
        </w:tc>
        <w:tc>
          <w:tcPr>
            <w:tcW w:w="6058"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36"/>
                <w:szCs w:val="36"/>
              </w:rPr>
            </w:pPr>
          </w:p>
        </w:tc>
      </w:tr>
      <w:tr w:rsidR="005B2C48" w:rsidRPr="005B2C48" w:rsidTr="005B2C48">
        <w:trPr>
          <w:trHeight w:val="504"/>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微软雅黑" w:eastAsia="微软雅黑" w:hAnsi="微软雅黑" w:cs="Arial"/>
                <w:color w:val="000000"/>
                <w:sz w:val="18"/>
                <w:szCs w:val="18"/>
              </w:rPr>
            </w:pPr>
            <w:r w:rsidRPr="005B2C48">
              <w:rPr>
                <w:rFonts w:ascii="微软雅黑" w:eastAsia="微软雅黑" w:hAnsi="微软雅黑" w:cs="Arial" w:hint="eastAsia"/>
                <w:color w:val="000000"/>
                <w:sz w:val="18"/>
                <w:szCs w:val="18"/>
              </w:rPr>
              <w:t>发债统计</w:t>
            </w:r>
          </w:p>
        </w:tc>
        <w:tc>
          <w:tcPr>
            <w:tcW w:w="6058"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36"/>
                <w:szCs w:val="36"/>
              </w:rPr>
            </w:pPr>
          </w:p>
        </w:tc>
      </w:tr>
      <w:tr w:rsidR="005B2C48" w:rsidRPr="005B2C48" w:rsidTr="005B2C48">
        <w:trPr>
          <w:trHeight w:val="407"/>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微软雅黑" w:eastAsia="微软雅黑" w:hAnsi="微软雅黑" w:cs="Arial"/>
                <w:color w:val="000000"/>
                <w:sz w:val="18"/>
                <w:szCs w:val="18"/>
              </w:rPr>
            </w:pPr>
            <w:r w:rsidRPr="005B2C48">
              <w:rPr>
                <w:rFonts w:ascii="微软雅黑" w:eastAsia="微软雅黑" w:hAnsi="微软雅黑" w:cs="Arial" w:hint="eastAsia"/>
                <w:color w:val="000000"/>
                <w:sz w:val="18"/>
                <w:szCs w:val="18"/>
              </w:rPr>
              <w:t>债券公告</w:t>
            </w:r>
          </w:p>
        </w:tc>
        <w:tc>
          <w:tcPr>
            <w:tcW w:w="6058"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36"/>
                <w:szCs w:val="36"/>
              </w:rPr>
            </w:pPr>
          </w:p>
        </w:tc>
      </w:tr>
      <w:tr w:rsidR="005B2C48" w:rsidRPr="005B2C48" w:rsidTr="005B2C48">
        <w:trPr>
          <w:trHeight w:val="613"/>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微软雅黑" w:eastAsia="微软雅黑" w:hAnsi="微软雅黑" w:cs="Arial"/>
                <w:color w:val="000000"/>
                <w:sz w:val="18"/>
                <w:szCs w:val="18"/>
              </w:rPr>
            </w:pPr>
            <w:r w:rsidRPr="005B2C48">
              <w:rPr>
                <w:rFonts w:ascii="微软雅黑" w:eastAsia="微软雅黑" w:hAnsi="微软雅黑" w:cs="Arial" w:hint="eastAsia"/>
                <w:color w:val="000000"/>
                <w:sz w:val="18"/>
                <w:szCs w:val="18"/>
              </w:rPr>
              <w:t>票据中心</w:t>
            </w:r>
          </w:p>
        </w:tc>
        <w:tc>
          <w:tcPr>
            <w:tcW w:w="6058"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36"/>
                <w:szCs w:val="36"/>
              </w:rPr>
            </w:pPr>
          </w:p>
        </w:tc>
      </w:tr>
      <w:tr w:rsidR="005B2C48" w:rsidRPr="005B2C48" w:rsidTr="005B2C48">
        <w:trPr>
          <w:trHeight w:val="616"/>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36"/>
                <w:szCs w:val="36"/>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vAlign w:val="center"/>
            <w:hideMark/>
          </w:tcPr>
          <w:p w:rsidR="005B2C48" w:rsidRPr="005B2C48" w:rsidRDefault="005B2C48" w:rsidP="005B2C48">
            <w:pPr>
              <w:widowControl/>
              <w:rPr>
                <w:rFonts w:ascii="微软雅黑" w:eastAsia="微软雅黑" w:hAnsi="微软雅黑" w:cs="Arial"/>
                <w:color w:val="000000"/>
                <w:sz w:val="18"/>
                <w:szCs w:val="18"/>
              </w:rPr>
            </w:pPr>
            <w:r w:rsidRPr="005B2C48">
              <w:rPr>
                <w:rFonts w:ascii="微软雅黑" w:eastAsia="微软雅黑" w:hAnsi="微软雅黑" w:cs="Arial" w:hint="eastAsia"/>
                <w:color w:val="000000"/>
                <w:sz w:val="18"/>
                <w:szCs w:val="18"/>
              </w:rPr>
              <w:t>行情报价</w:t>
            </w:r>
          </w:p>
        </w:tc>
        <w:tc>
          <w:tcPr>
            <w:tcW w:w="6058" w:type="dxa"/>
            <w:vMerge/>
            <w:tcBorders>
              <w:top w:val="single" w:sz="8" w:space="0" w:color="000000"/>
              <w:left w:val="single" w:sz="8" w:space="0" w:color="000000"/>
              <w:bottom w:val="single" w:sz="8" w:space="0" w:color="000000"/>
              <w:right w:val="single" w:sz="8" w:space="0" w:color="000000"/>
            </w:tcBorders>
            <w:vAlign w:val="center"/>
            <w:hideMark/>
          </w:tcPr>
          <w:p w:rsidR="005B2C48" w:rsidRPr="005B2C48" w:rsidRDefault="005B2C48" w:rsidP="005B2C48">
            <w:pPr>
              <w:widowControl/>
              <w:jc w:val="left"/>
              <w:rPr>
                <w:rFonts w:ascii="Arial" w:eastAsia="宋体" w:hAnsi="Arial" w:cs="Arial"/>
                <w:kern w:val="0"/>
                <w:sz w:val="36"/>
                <w:szCs w:val="36"/>
              </w:rPr>
            </w:pPr>
          </w:p>
        </w:tc>
      </w:tr>
    </w:tbl>
    <w:p w:rsidR="005B2C48" w:rsidRPr="00155469" w:rsidRDefault="005B2C48" w:rsidP="00155469">
      <w:pPr>
        <w:jc w:val="left"/>
        <w:rPr>
          <w:sz w:val="24"/>
          <w:szCs w:val="24"/>
        </w:rPr>
      </w:pPr>
    </w:p>
    <w:sectPr w:rsidR="005B2C48" w:rsidRPr="00155469" w:rsidSect="000D4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77A" w:rsidRDefault="007E177A" w:rsidP="003F19CF">
      <w:r>
        <w:separator/>
      </w:r>
    </w:p>
  </w:endnote>
  <w:endnote w:type="continuationSeparator" w:id="0">
    <w:p w:rsidR="007E177A" w:rsidRDefault="007E177A" w:rsidP="003F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77A" w:rsidRDefault="007E177A" w:rsidP="003F19CF">
      <w:r>
        <w:separator/>
      </w:r>
    </w:p>
  </w:footnote>
  <w:footnote w:type="continuationSeparator" w:id="0">
    <w:p w:rsidR="007E177A" w:rsidRDefault="007E177A" w:rsidP="003F1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5469"/>
    <w:rsid w:val="000D47B1"/>
    <w:rsid w:val="00155469"/>
    <w:rsid w:val="003F19CF"/>
    <w:rsid w:val="00484459"/>
    <w:rsid w:val="005B2C48"/>
    <w:rsid w:val="007E1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0F0C0C-4D46-4B84-AEB0-F5E1E37D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445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3F19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F19CF"/>
    <w:rPr>
      <w:sz w:val="18"/>
      <w:szCs w:val="18"/>
    </w:rPr>
  </w:style>
  <w:style w:type="paragraph" w:styleId="a6">
    <w:name w:val="footer"/>
    <w:basedOn w:val="a"/>
    <w:link w:val="a7"/>
    <w:uiPriority w:val="99"/>
    <w:unhideWhenUsed/>
    <w:rsid w:val="003F19CF"/>
    <w:pPr>
      <w:tabs>
        <w:tab w:val="center" w:pos="4153"/>
        <w:tab w:val="right" w:pos="8306"/>
      </w:tabs>
      <w:snapToGrid w:val="0"/>
      <w:jc w:val="left"/>
    </w:pPr>
    <w:rPr>
      <w:sz w:val="18"/>
      <w:szCs w:val="18"/>
    </w:rPr>
  </w:style>
  <w:style w:type="character" w:customStyle="1" w:styleId="a7">
    <w:name w:val="页脚 字符"/>
    <w:basedOn w:val="a0"/>
    <w:link w:val="a6"/>
    <w:uiPriority w:val="99"/>
    <w:rsid w:val="003F19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22919">
      <w:bodyDiv w:val="1"/>
      <w:marLeft w:val="0"/>
      <w:marRight w:val="0"/>
      <w:marTop w:val="0"/>
      <w:marBottom w:val="0"/>
      <w:divBdr>
        <w:top w:val="none" w:sz="0" w:space="0" w:color="auto"/>
        <w:left w:val="none" w:sz="0" w:space="0" w:color="auto"/>
        <w:bottom w:val="none" w:sz="0" w:space="0" w:color="auto"/>
        <w:right w:val="none" w:sz="0" w:space="0" w:color="auto"/>
      </w:divBdr>
    </w:div>
    <w:div w:id="438716758">
      <w:bodyDiv w:val="1"/>
      <w:marLeft w:val="0"/>
      <w:marRight w:val="0"/>
      <w:marTop w:val="0"/>
      <w:marBottom w:val="0"/>
      <w:divBdr>
        <w:top w:val="none" w:sz="0" w:space="0" w:color="auto"/>
        <w:left w:val="none" w:sz="0" w:space="0" w:color="auto"/>
        <w:bottom w:val="none" w:sz="0" w:space="0" w:color="auto"/>
        <w:right w:val="none" w:sz="0" w:space="0" w:color="auto"/>
      </w:divBdr>
    </w:div>
    <w:div w:id="530386704">
      <w:bodyDiv w:val="1"/>
      <w:marLeft w:val="0"/>
      <w:marRight w:val="0"/>
      <w:marTop w:val="0"/>
      <w:marBottom w:val="0"/>
      <w:divBdr>
        <w:top w:val="none" w:sz="0" w:space="0" w:color="auto"/>
        <w:left w:val="none" w:sz="0" w:space="0" w:color="auto"/>
        <w:bottom w:val="none" w:sz="0" w:space="0" w:color="auto"/>
        <w:right w:val="none" w:sz="0" w:space="0" w:color="auto"/>
      </w:divBdr>
    </w:div>
    <w:div w:id="844443507">
      <w:bodyDiv w:val="1"/>
      <w:marLeft w:val="0"/>
      <w:marRight w:val="0"/>
      <w:marTop w:val="0"/>
      <w:marBottom w:val="0"/>
      <w:divBdr>
        <w:top w:val="none" w:sz="0" w:space="0" w:color="auto"/>
        <w:left w:val="none" w:sz="0" w:space="0" w:color="auto"/>
        <w:bottom w:val="none" w:sz="0" w:space="0" w:color="auto"/>
        <w:right w:val="none" w:sz="0" w:space="0" w:color="auto"/>
      </w:divBdr>
    </w:div>
    <w:div w:id="1048265729">
      <w:bodyDiv w:val="1"/>
      <w:marLeft w:val="0"/>
      <w:marRight w:val="0"/>
      <w:marTop w:val="0"/>
      <w:marBottom w:val="0"/>
      <w:divBdr>
        <w:top w:val="none" w:sz="0" w:space="0" w:color="auto"/>
        <w:left w:val="none" w:sz="0" w:space="0" w:color="auto"/>
        <w:bottom w:val="none" w:sz="0" w:space="0" w:color="auto"/>
        <w:right w:val="none" w:sz="0" w:space="0" w:color="auto"/>
      </w:divBdr>
    </w:div>
    <w:div w:id="16297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蒋朝建</cp:lastModifiedBy>
  <cp:revision>2</cp:revision>
  <dcterms:created xsi:type="dcterms:W3CDTF">2019-02-19T13:41:00Z</dcterms:created>
  <dcterms:modified xsi:type="dcterms:W3CDTF">2019-03-06T01:44:00Z</dcterms:modified>
</cp:coreProperties>
</file>