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jc w:val="both"/>
        <w:rPr>
          <w:rFonts w:ascii="仿宋_GB2312" w:eastAsia="仿宋_GB2312" w:hAnsi="Times New Roman" w:hint="eastAsia"/>
          <w:b/>
          <w:sz w:val="28"/>
          <w:szCs w:val="28"/>
        </w:rPr>
      </w:pPr>
      <w:r w:rsidRPr="00BB229B">
        <w:rPr>
          <w:rFonts w:ascii="仿宋_GB2312" w:eastAsia="仿宋_GB2312" w:hAnsi="Times New Roman" w:hint="eastAsia"/>
          <w:b/>
          <w:sz w:val="28"/>
          <w:szCs w:val="28"/>
        </w:rPr>
        <w:t>附件2：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jc w:val="center"/>
        <w:rPr>
          <w:rFonts w:ascii="黑体" w:eastAsia="黑体" w:hAnsi="Times New Roman" w:hint="eastAsia"/>
          <w:b/>
          <w:sz w:val="36"/>
          <w:szCs w:val="36"/>
        </w:rPr>
      </w:pP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jc w:val="center"/>
        <w:rPr>
          <w:rFonts w:ascii="仿宋_GB2312" w:eastAsia="仿宋_GB2312" w:hAnsi="Times New Roman" w:hint="eastAsia"/>
          <w:b/>
          <w:sz w:val="32"/>
          <w:szCs w:val="32"/>
        </w:rPr>
      </w:pPr>
      <w:r w:rsidRPr="00BB229B">
        <w:rPr>
          <w:rFonts w:ascii="仿宋_GB2312" w:eastAsia="仿宋_GB2312" w:hAnsi="Times New Roman" w:hint="eastAsia"/>
          <w:b/>
          <w:sz w:val="32"/>
          <w:szCs w:val="32"/>
        </w:rPr>
        <w:t>关于</w:t>
      </w:r>
      <w:proofErr w:type="gramStart"/>
      <w:r w:rsidRPr="00BB229B">
        <w:rPr>
          <w:rFonts w:ascii="仿宋_GB2312" w:eastAsia="仿宋_GB2312" w:hAnsi="Times New Roman" w:hint="eastAsia"/>
          <w:b/>
          <w:sz w:val="32"/>
          <w:szCs w:val="32"/>
        </w:rPr>
        <w:t>《</w:t>
      </w:r>
      <w:proofErr w:type="gramEnd"/>
      <w:r w:rsidRPr="00BB229B">
        <w:rPr>
          <w:rFonts w:ascii="仿宋_GB2312" w:eastAsia="仿宋_GB2312" w:hAnsi="Times New Roman" w:hint="eastAsia"/>
          <w:b/>
          <w:sz w:val="32"/>
          <w:szCs w:val="32"/>
        </w:rPr>
        <w:t>会计师事务所前百家信息发布办法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jc w:val="center"/>
        <w:rPr>
          <w:rFonts w:ascii="仿宋_GB2312" w:eastAsia="仿宋_GB2312" w:hAnsi="Times New Roman" w:hint="eastAsia"/>
          <w:b/>
          <w:sz w:val="32"/>
          <w:szCs w:val="32"/>
        </w:rPr>
      </w:pPr>
      <w:r w:rsidRPr="00BB229B">
        <w:rPr>
          <w:rFonts w:ascii="仿宋_GB2312" w:eastAsia="仿宋_GB2312" w:hAnsi="Times New Roman" w:hint="eastAsia"/>
          <w:b/>
          <w:sz w:val="32"/>
          <w:szCs w:val="32"/>
        </w:rPr>
        <w:t>（征求意见稿）</w:t>
      </w:r>
      <w:proofErr w:type="gramStart"/>
      <w:r w:rsidRPr="00BB229B">
        <w:rPr>
          <w:rFonts w:ascii="仿宋_GB2312" w:eastAsia="仿宋_GB2312" w:hAnsi="Times New Roman" w:hint="eastAsia"/>
          <w:b/>
          <w:sz w:val="32"/>
          <w:szCs w:val="32"/>
        </w:rPr>
        <w:t>》</w:t>
      </w:r>
      <w:proofErr w:type="gramEnd"/>
      <w:r w:rsidRPr="00BB229B">
        <w:rPr>
          <w:rFonts w:ascii="仿宋_GB2312" w:eastAsia="仿宋_GB2312" w:hAnsi="Times New Roman" w:hint="eastAsia"/>
          <w:b/>
          <w:sz w:val="32"/>
          <w:szCs w:val="32"/>
        </w:rPr>
        <w:t>的起草说明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Chars="192" w:firstLine="694"/>
        <w:jc w:val="center"/>
        <w:rPr>
          <w:rFonts w:ascii="黑体" w:eastAsia="黑体" w:hAnsi="Times New Roman" w:hint="eastAsia"/>
          <w:b/>
          <w:sz w:val="36"/>
          <w:szCs w:val="36"/>
        </w:rPr>
      </w:pP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Chars="235" w:firstLine="658"/>
        <w:jc w:val="both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为进一步改进会计师事务所（以下简称事务所）前百家信息发布工作，我们对事务所综合评价和前百家信息发布工作进行了认真研究，赴事务所实地调研，于今年2月10日召开（视频）会议，专题听取地方注协和前百家事务所负责人的意见。基于前一阶段工作，我会起草了《会计师事务所前百家信息发布办法（征求意见稿）》，经中注协注册委员会审议，同意公开征求意见。有关情况说明如下：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2"/>
        <w:rPr>
          <w:rFonts w:ascii="黑体" w:eastAsia="黑体" w:hAnsi="楷体" w:hint="eastAsia"/>
          <w:b/>
          <w:sz w:val="28"/>
          <w:szCs w:val="28"/>
        </w:rPr>
      </w:pPr>
      <w:r w:rsidRPr="00BB229B">
        <w:rPr>
          <w:rFonts w:ascii="黑体" w:eastAsia="黑体" w:hAnsi="楷体" w:hint="eastAsia"/>
          <w:b/>
          <w:sz w:val="28"/>
          <w:szCs w:val="28"/>
        </w:rPr>
        <w:t>一、改进前百家信息发布工作的必要性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="555"/>
        <w:jc w:val="both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为了反映事务所发展情况，满足各方面了解、评价和选聘事务所的需要，从2003年起，中注协借鉴国际上事务所排名做法，组织开展向社会公布前百家事务所信息的工作。14年来，事务所前百家信息发布工作一直在探索、改进和完善，经历了三个阶段。第一阶段（2003-2005年），以事务所业务收入作为排名依据，同时辅以公布会计师事务所的注册会计师数量、分所数量、分所收入、业务收入增长率、审计收入、兼营收入等6项辅助信息。第二阶段（2006-2010年），出台《会计师事务所综合评价办法（试行）》，将业务收入、注册会计师人数、培训完成率、领军人才（后备）人选数、受处罚和惩戒情况进行赋分，开展综合评价，同时公布分所数量、从业人员人数、</w:t>
      </w:r>
      <w:r w:rsidRPr="00BB229B">
        <w:rPr>
          <w:rFonts w:ascii="仿宋_GB2312" w:eastAsia="仿宋_GB2312" w:hAnsi="Times New Roman" w:hint="eastAsia"/>
          <w:sz w:val="28"/>
          <w:szCs w:val="28"/>
        </w:rPr>
        <w:lastRenderedPageBreak/>
        <w:t>合伙人（股东）人数、注册会计师年龄结构、注册会计师学历结构、审计收入、人均业务收入、境外设立分支机构数量等8项辅助指标。第三阶段（2011年-2016年）。结合创先争优活动，开展事务所综合评价指标体系建设，修订出台《会计师事务所综合评价办法》，将事务所综合评价指标由原来的5项扩展为4大类、15个方面、365项，在此基础上，披露前百家事务所信息。2014-2015年，将综合评价指标缩减归并为10个方面、200项，并对《会计师事务所综合评价办法》做了修改。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="555"/>
        <w:jc w:val="both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几年实践表明，现行建立在综合评价基础上的事务所排名方法，同以业务收入为依据的排名方法相比，尽管有指标齐全、对标提升、引导性强等诸多特点，但也暴露出一些缺陷：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="555"/>
        <w:jc w:val="both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一是定性指标难以准确计量。综合评价指标有定量和定性之分。定性指标涉及主观性描述，如事务所基本情况、内部治理、执业质量、人力资源、国际业务、信息技术、党群共建、社会责任等，需要事务所判断填列，难以准确计量。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="555"/>
        <w:jc w:val="both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二是指标核查存在一定的困难。无论是定量指标还是定性指标，都需要证据支撑和核实。由于指标较多，定性指标判断主观性强，核实难度较大。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="555"/>
        <w:jc w:val="both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三是权重影响指标作用的发挥。业务收入被赋予了较大的权重。对于业务收入较大的事务所，业务收入成了得分的重要因素；对于业务收入规模较小的事务所，其他指标成了得分的主要因素。这在一定程度上影响了指标导引的作用。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Chars="200" w:firstLine="560"/>
        <w:jc w:val="both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lastRenderedPageBreak/>
        <w:t>综上，有必要改进前百家事务所排名办法，不再将事务所综合评价作为百家事务所排名的基础，拟在继续发挥综合评价促进党建与业务结合、推进做</w:t>
      </w:r>
      <w:proofErr w:type="gramStart"/>
      <w:r w:rsidRPr="00BB229B">
        <w:rPr>
          <w:rFonts w:ascii="仿宋_GB2312" w:eastAsia="仿宋_GB2312" w:hAnsi="Times New Roman" w:hint="eastAsia"/>
          <w:sz w:val="28"/>
          <w:szCs w:val="28"/>
        </w:rPr>
        <w:t>强做</w:t>
      </w:r>
      <w:proofErr w:type="gramEnd"/>
      <w:r w:rsidRPr="00BB229B">
        <w:rPr>
          <w:rFonts w:ascii="仿宋_GB2312" w:eastAsia="仿宋_GB2312" w:hAnsi="Times New Roman" w:hint="eastAsia"/>
          <w:sz w:val="28"/>
          <w:szCs w:val="28"/>
        </w:rPr>
        <w:t>大做精做</w:t>
      </w:r>
      <w:proofErr w:type="gramStart"/>
      <w:r w:rsidRPr="00BB229B">
        <w:rPr>
          <w:rFonts w:ascii="仿宋_GB2312" w:eastAsia="仿宋_GB2312" w:hAnsi="Times New Roman" w:hint="eastAsia"/>
          <w:sz w:val="28"/>
          <w:szCs w:val="28"/>
        </w:rPr>
        <w:t>专作用</w:t>
      </w:r>
      <w:proofErr w:type="gramEnd"/>
      <w:r w:rsidRPr="00BB229B">
        <w:rPr>
          <w:rFonts w:ascii="仿宋_GB2312" w:eastAsia="仿宋_GB2312" w:hAnsi="Times New Roman" w:hint="eastAsia"/>
          <w:sz w:val="28"/>
          <w:szCs w:val="28"/>
        </w:rPr>
        <w:t>的同时，独立编制发布前百家事务所信息。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2"/>
        <w:rPr>
          <w:rFonts w:ascii="黑体" w:eastAsia="黑体" w:hAnsi="楷体" w:hint="eastAsia"/>
          <w:b/>
          <w:sz w:val="28"/>
          <w:szCs w:val="28"/>
        </w:rPr>
      </w:pPr>
      <w:r w:rsidRPr="00BB229B">
        <w:rPr>
          <w:rFonts w:ascii="黑体" w:eastAsia="黑体" w:hAnsi="楷体" w:hint="eastAsia"/>
          <w:b/>
          <w:sz w:val="28"/>
          <w:szCs w:val="28"/>
        </w:rPr>
        <w:t>二、改进前百家事务所信息发布工作的原则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="555"/>
        <w:jc w:val="both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针对以综合评价为基础发布前百家事务所信息的不足，提出如下改进原则：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一是继承好的做法。事务所前百家信息发布工作已经开展14年，虽然指标体系几经变化，但有些指标非常有价值，应当继承和保留下来。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二是体现行业发展导向。通过指标设计，引导事务所做</w:t>
      </w:r>
      <w:proofErr w:type="gramStart"/>
      <w:r w:rsidRPr="00BB229B">
        <w:rPr>
          <w:rFonts w:ascii="仿宋_GB2312" w:eastAsia="仿宋_GB2312" w:hAnsi="Times New Roman" w:hint="eastAsia"/>
          <w:sz w:val="28"/>
          <w:szCs w:val="28"/>
        </w:rPr>
        <w:t>强做</w:t>
      </w:r>
      <w:proofErr w:type="gramEnd"/>
      <w:r w:rsidRPr="00BB229B">
        <w:rPr>
          <w:rFonts w:ascii="仿宋_GB2312" w:eastAsia="仿宋_GB2312" w:hAnsi="Times New Roman" w:hint="eastAsia"/>
          <w:sz w:val="28"/>
          <w:szCs w:val="28"/>
        </w:rPr>
        <w:t>大。大是规模，如业务收入、注册会计师数量、从业人员数量、分支机构等；强是质量，如是否受到处罚和惩戒。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三是指标可以核实。选择的指标便于核实，具有真实性和可靠性。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BB229B">
        <w:rPr>
          <w:rFonts w:ascii="仿宋_GB2312" w:eastAsia="仿宋_GB2312" w:hAnsi="Times New Roman" w:hint="eastAsia"/>
          <w:sz w:val="28"/>
          <w:szCs w:val="28"/>
        </w:rPr>
        <w:t>四是借鉴国际通行做法。国际上通行的事务所排名方法主要以业务收入为依据，辅以披露其他指标，为公众了解和评价事务所提供信息，而不是直接</w:t>
      </w:r>
      <w:proofErr w:type="gramStart"/>
      <w:r w:rsidRPr="00BB229B">
        <w:rPr>
          <w:rFonts w:ascii="仿宋_GB2312" w:eastAsia="仿宋_GB2312" w:hAnsi="Times New Roman" w:hint="eastAsia"/>
          <w:sz w:val="28"/>
          <w:szCs w:val="28"/>
        </w:rPr>
        <w:t>作出</w:t>
      </w:r>
      <w:proofErr w:type="gramEnd"/>
      <w:r w:rsidRPr="00BB229B">
        <w:rPr>
          <w:rFonts w:ascii="仿宋_GB2312" w:eastAsia="仿宋_GB2312" w:hAnsi="Times New Roman" w:hint="eastAsia"/>
          <w:sz w:val="28"/>
          <w:szCs w:val="28"/>
        </w:rPr>
        <w:t>评价。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2"/>
        <w:rPr>
          <w:rFonts w:ascii="黑体" w:eastAsia="黑体" w:hAnsi="楷体" w:hint="eastAsia"/>
          <w:b/>
          <w:sz w:val="28"/>
          <w:szCs w:val="28"/>
        </w:rPr>
      </w:pPr>
      <w:r w:rsidRPr="00BB229B">
        <w:rPr>
          <w:rFonts w:ascii="黑体" w:eastAsia="黑体" w:hAnsi="楷体" w:hint="eastAsia"/>
          <w:b/>
          <w:sz w:val="28"/>
          <w:szCs w:val="28"/>
        </w:rPr>
        <w:t>三、几个问题的处理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B229B">
        <w:rPr>
          <w:rFonts w:ascii="仿宋_GB2312" w:eastAsia="仿宋_GB2312" w:hAnsi="仿宋" w:hint="eastAsia"/>
          <w:sz w:val="28"/>
          <w:szCs w:val="28"/>
        </w:rPr>
        <w:t>一是排名依据。将前百家事务所以业务收入为依据由高到低进行排名，业务收入最高的排名第一，依次排列。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B229B">
        <w:rPr>
          <w:rFonts w:ascii="仿宋_GB2312" w:eastAsia="仿宋_GB2312" w:hAnsi="仿宋" w:hint="eastAsia"/>
          <w:sz w:val="28"/>
          <w:szCs w:val="28"/>
        </w:rPr>
        <w:t>二是公布的指标。除公布业务收入，并按业务收入进行排名外，与规模相关的收入结构、与事务所统一经营的其他执业机构业务收入、注册会计师数量、从业人员数量、分支机构数量，以及受到处罚和惩戒情况，同时予以公布。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B229B">
        <w:rPr>
          <w:rFonts w:ascii="仿宋_GB2312" w:eastAsia="仿宋_GB2312" w:hAnsi="仿宋" w:hint="eastAsia"/>
          <w:sz w:val="28"/>
          <w:szCs w:val="28"/>
        </w:rPr>
        <w:lastRenderedPageBreak/>
        <w:t>三是信息的真实性。事务所应当依据经注册会计师独立审计的财务报表填列相关数据，并对信息的真实性负责。中注协对填报信息进行抽查。信息公布后，如果发现填报信息不实，视情节轻重，给予通报批评、撤销排名的处理。</w:t>
      </w:r>
    </w:p>
    <w:p w:rsidR="00416484" w:rsidRPr="00BB229B" w:rsidRDefault="00416484" w:rsidP="00416484">
      <w:pPr>
        <w:widowControl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B229B">
        <w:rPr>
          <w:rFonts w:ascii="仿宋_GB2312" w:eastAsia="仿宋_GB2312" w:hAnsi="仿宋" w:hint="eastAsia"/>
          <w:sz w:val="28"/>
          <w:szCs w:val="28"/>
        </w:rPr>
        <w:t>特此说明。</w:t>
      </w:r>
    </w:p>
    <w:p w:rsidR="00416484" w:rsidRPr="00BB229B" w:rsidRDefault="00416484" w:rsidP="00416484">
      <w:pPr>
        <w:widowControl w:val="0"/>
        <w:spacing w:before="0" w:beforeAutospacing="0" w:after="0" w:afterAutospacing="0" w:line="240" w:lineRule="auto"/>
        <w:ind w:firstLine="600"/>
        <w:jc w:val="both"/>
        <w:rPr>
          <w:rFonts w:ascii="仿宋_GB2312" w:eastAsia="仿宋_GB2312" w:hAnsi="仿宋" w:hint="eastAsia"/>
          <w:sz w:val="28"/>
          <w:szCs w:val="28"/>
        </w:rPr>
      </w:pPr>
      <w:r w:rsidRPr="00BB229B">
        <w:rPr>
          <w:rFonts w:ascii="仿宋_GB2312" w:eastAsia="仿宋_GB2312" w:hAnsi="仿宋" w:hint="eastAsia"/>
          <w:sz w:val="28"/>
          <w:szCs w:val="28"/>
        </w:rPr>
        <w:t xml:space="preserve">                           （2017年7月4日）</w:t>
      </w:r>
    </w:p>
    <w:p w:rsidR="00416484" w:rsidRPr="00F96CE6" w:rsidRDefault="00416484" w:rsidP="00416484">
      <w:pPr>
        <w:spacing w:before="0" w:beforeAutospacing="0" w:after="0" w:afterAutospacing="0" w:line="400" w:lineRule="exact"/>
        <w:rPr>
          <w:rFonts w:ascii="仿宋_GB2312" w:eastAsia="仿宋_GB2312"/>
          <w:sz w:val="28"/>
          <w:szCs w:val="28"/>
        </w:rPr>
      </w:pPr>
    </w:p>
    <w:p w:rsidR="00C341B1" w:rsidRDefault="00416484">
      <w:bookmarkStart w:id="0" w:name="_GoBack"/>
      <w:bookmarkEnd w:id="0"/>
    </w:p>
    <w:sectPr w:rsidR="00C3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4"/>
    <w:rsid w:val="00416484"/>
    <w:rsid w:val="005C1ED3"/>
    <w:rsid w:val="00992F4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84"/>
    <w:pPr>
      <w:spacing w:before="100" w:beforeAutospacing="1" w:after="100" w:afterAutospacing="1" w:line="240" w:lineRule="atLeas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84"/>
    <w:pPr>
      <w:spacing w:before="100" w:beforeAutospacing="1" w:after="100" w:afterAutospacing="1" w:line="240" w:lineRule="atLeas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许茜</dc:creator>
  <cp:lastModifiedBy>许茜</cp:lastModifiedBy>
  <cp:revision>1</cp:revision>
  <dcterms:created xsi:type="dcterms:W3CDTF">2017-07-11T01:48:00Z</dcterms:created>
  <dcterms:modified xsi:type="dcterms:W3CDTF">2017-07-11T01:49:00Z</dcterms:modified>
</cp:coreProperties>
</file>