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BF05F4" w:rsidRDefault="0098654C">
      <w:pPr>
        <w:spacing w:before="100" w:beforeAutospacing="1" w:after="100" w:afterAutospacing="1" w:line="360" w:lineRule="auto"/>
        <w:jc w:val="left"/>
        <w:rPr>
          <w:rFonts w:ascii="黑体" w:eastAsia="黑体" w:hAnsi="黑体" w:cstheme="minorBidi"/>
          <w:sz w:val="32"/>
          <w:szCs w:val="32"/>
        </w:rPr>
      </w:pPr>
      <w:r>
        <w:rPr>
          <w:rFonts w:ascii="黑体" w:eastAsia="黑体" w:hAnsi="黑体" w:cstheme="minorBidi" w:hint="eastAsia"/>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6E42F9">
        <w:rPr>
          <w:rFonts w:ascii="黑体" w:eastAsia="黑体" w:hAnsi="黑体" w:cstheme="minorBidi" w:hint="eastAsia"/>
          <w:sz w:val="32"/>
          <w:szCs w:val="32"/>
        </w:rPr>
        <w:instrText>ADDIN CNKISM.UserStyle</w:instrText>
      </w:r>
      <w:r>
        <w:rPr>
          <w:rFonts w:ascii="黑体" w:eastAsia="黑体" w:hAnsi="黑体" w:cstheme="minorBidi" w:hint="eastAsia"/>
          <w:sz w:val="32"/>
          <w:szCs w:val="32"/>
        </w:rPr>
      </w:r>
      <w:r>
        <w:rPr>
          <w:rFonts w:ascii="黑体" w:eastAsia="黑体" w:hAnsi="黑体" w:cstheme="minorBidi" w:hint="eastAsia"/>
          <w:sz w:val="32"/>
          <w:szCs w:val="32"/>
        </w:rPr>
        <w:fldChar w:fldCharType="end"/>
      </w:r>
      <w:r w:rsidR="006E42F9">
        <w:rPr>
          <w:rFonts w:ascii="黑体" w:eastAsia="黑体" w:hAnsi="黑体" w:cstheme="minorBidi" w:hint="eastAsia"/>
          <w:sz w:val="32"/>
          <w:szCs w:val="32"/>
        </w:rPr>
        <w:t>附件</w:t>
      </w:r>
      <w:r w:rsidR="00A90FD5">
        <w:rPr>
          <w:rFonts w:ascii="黑体" w:eastAsia="黑体" w:hAnsi="黑体" w:cstheme="minorBidi" w:hint="eastAsia"/>
          <w:sz w:val="32"/>
          <w:szCs w:val="32"/>
        </w:rPr>
        <w:t>2</w:t>
      </w:r>
    </w:p>
    <w:p w:rsidR="006B0865" w:rsidRDefault="006E42F9" w:rsidP="006B0865">
      <w:pPr>
        <w:jc w:val="center"/>
        <w:rPr>
          <w:rFonts w:ascii="方正小标宋简体" w:eastAsia="方正小标宋简体" w:hAnsi="宋体" w:cs="黑体"/>
          <w:bCs/>
          <w:spacing w:val="-2"/>
          <w:sz w:val="44"/>
          <w:szCs w:val="44"/>
        </w:rPr>
      </w:pPr>
      <w:proofErr w:type="gramStart"/>
      <w:r>
        <w:rPr>
          <w:rFonts w:ascii="方正小标宋简体" w:eastAsia="方正小标宋简体" w:hAnsi="宋体" w:cstheme="minorBidi" w:hint="eastAsia"/>
          <w:sz w:val="44"/>
          <w:szCs w:val="44"/>
        </w:rPr>
        <w:t>《</w:t>
      </w:r>
      <w:proofErr w:type="gramEnd"/>
      <w:r>
        <w:rPr>
          <w:rFonts w:ascii="方正小标宋简体" w:eastAsia="方正小标宋简体" w:hAnsi="宋体" w:cs="黑体" w:hint="eastAsia"/>
          <w:bCs/>
          <w:spacing w:val="-2"/>
          <w:sz w:val="44"/>
          <w:szCs w:val="44"/>
        </w:rPr>
        <w:t>资产评估专家指引</w:t>
      </w:r>
      <w:r w:rsidR="001B6DCF" w:rsidRPr="001B6DCF">
        <w:rPr>
          <w:rFonts w:ascii="方正小标宋简体" w:eastAsia="方正小标宋简体" w:hAnsi="宋体" w:cs="黑体"/>
          <w:bCs/>
          <w:spacing w:val="-2"/>
          <w:sz w:val="44"/>
          <w:szCs w:val="44"/>
        </w:rPr>
        <w:t>——</w:t>
      </w:r>
      <w:r>
        <w:rPr>
          <w:rFonts w:ascii="方正小标宋简体" w:eastAsia="方正小标宋简体" w:hAnsi="宋体" w:cs="黑体" w:hint="eastAsia"/>
          <w:bCs/>
          <w:spacing w:val="-2"/>
          <w:sz w:val="44"/>
          <w:szCs w:val="44"/>
        </w:rPr>
        <w:t>资产评估中的</w:t>
      </w:r>
    </w:p>
    <w:p w:rsidR="00BF05F4" w:rsidRDefault="000F48EF" w:rsidP="006B0865">
      <w:pPr>
        <w:jc w:val="center"/>
        <w:rPr>
          <w:rFonts w:ascii="方正小标宋简体" w:eastAsia="方正小标宋简体" w:hAnsi="宋体" w:cstheme="minorBidi"/>
          <w:sz w:val="44"/>
          <w:szCs w:val="44"/>
        </w:rPr>
      </w:pPr>
      <w:r>
        <w:rPr>
          <w:rFonts w:ascii="方正小标宋简体" w:eastAsia="方正小标宋简体" w:hAnsi="宋体" w:cs="黑体" w:hint="eastAsia"/>
          <w:bCs/>
          <w:spacing w:val="-2"/>
          <w:sz w:val="44"/>
          <w:szCs w:val="44"/>
        </w:rPr>
        <w:t>核查验证（征求意见稿）</w:t>
      </w:r>
      <w:r w:rsidR="006E42F9">
        <w:rPr>
          <w:rFonts w:ascii="方正小标宋简体" w:eastAsia="方正小标宋简体" w:hAnsi="宋体" w:cs="黑体" w:hint="eastAsia"/>
          <w:bCs/>
          <w:spacing w:val="-2"/>
          <w:sz w:val="44"/>
          <w:szCs w:val="44"/>
        </w:rPr>
        <w:t>》起草说明</w:t>
      </w:r>
      <w:r w:rsidR="006E42F9">
        <w:rPr>
          <w:rFonts w:ascii="方正小标宋简体" w:eastAsia="方正小标宋简体" w:hAnsi="宋体" w:cstheme="minorBidi" w:hint="eastAsia"/>
          <w:sz w:val="44"/>
          <w:szCs w:val="44"/>
        </w:rPr>
        <w:t xml:space="preserve"> </w:t>
      </w:r>
    </w:p>
    <w:p w:rsidR="00BF05F4" w:rsidRDefault="006E42F9" w:rsidP="006B0865">
      <w:pPr>
        <w:widowControl/>
        <w:spacing w:line="360" w:lineRule="auto"/>
        <w:ind w:firstLineChars="200" w:firstLine="607"/>
        <w:rPr>
          <w:rFonts w:ascii="仿宋_GB2312" w:eastAsia="仿宋_GB2312" w:hAnsi="宋体" w:cs="宋体"/>
          <w:kern w:val="0"/>
          <w:sz w:val="32"/>
          <w:szCs w:val="32"/>
        </w:rPr>
      </w:pPr>
      <w:r>
        <w:rPr>
          <w:rFonts w:ascii="仿宋_GB2312" w:eastAsia="仿宋_GB2312" w:hAnsi="宋体" w:cs="华文仿宋" w:hint="eastAsia"/>
          <w:color w:val="000000"/>
          <w:kern w:val="0"/>
          <w:sz w:val="32"/>
          <w:szCs w:val="32"/>
        </w:rPr>
        <w:t>为</w:t>
      </w:r>
      <w:r>
        <w:rPr>
          <w:rFonts w:ascii="仿宋_GB2312" w:eastAsia="仿宋_GB2312" w:hAnsi="宋体" w:cs="宋体" w:hint="eastAsia"/>
          <w:kern w:val="0"/>
          <w:sz w:val="32"/>
          <w:szCs w:val="32"/>
        </w:rPr>
        <w:t>指导资产评估专业人员在执业过程中履行适当的核查验证程序，中国资产评估协会研究起草了《资产评估专家指引</w:t>
      </w:r>
      <w:r>
        <w:rPr>
          <w:rFonts w:ascii="仿宋_GB2312" w:eastAsia="仿宋_GB2312" w:hAnsi="宋体" w:cs="宋体"/>
          <w:kern w:val="0"/>
          <w:sz w:val="32"/>
          <w:szCs w:val="32"/>
        </w:rPr>
        <w:t>——</w:t>
      </w:r>
      <w:r>
        <w:rPr>
          <w:rFonts w:ascii="仿宋_GB2312" w:eastAsia="仿宋_GB2312" w:hAnsi="宋体" w:cs="宋体" w:hint="eastAsia"/>
          <w:kern w:val="0"/>
          <w:sz w:val="32"/>
          <w:szCs w:val="32"/>
        </w:rPr>
        <w:t>资产评估中的核查验证（征求意见稿）》（以下简称专家指引），</w:t>
      </w:r>
      <w:r>
        <w:rPr>
          <w:rFonts w:ascii="仿宋_GB2312" w:eastAsia="仿宋_GB2312" w:hAnsi="宋体" w:hint="eastAsia"/>
          <w:sz w:val="32"/>
          <w:szCs w:val="32"/>
        </w:rPr>
        <w:t>为便于理解，现就有关情况说明如下：</w:t>
      </w:r>
    </w:p>
    <w:p w:rsidR="00BF05F4" w:rsidRDefault="006E42F9" w:rsidP="006B0865">
      <w:pPr>
        <w:widowControl/>
        <w:spacing w:line="360" w:lineRule="auto"/>
        <w:ind w:firstLineChars="200" w:firstLine="607"/>
        <w:rPr>
          <w:rFonts w:ascii="黑体" w:eastAsia="黑体" w:hAnsi="黑体" w:cs="宋体"/>
          <w:bCs/>
          <w:kern w:val="0"/>
          <w:sz w:val="32"/>
          <w:szCs w:val="32"/>
        </w:rPr>
      </w:pPr>
      <w:r>
        <w:rPr>
          <w:rFonts w:ascii="黑体" w:eastAsia="黑体" w:hAnsi="黑体" w:cs="宋体"/>
          <w:bCs/>
          <w:kern w:val="0"/>
          <w:sz w:val="32"/>
          <w:szCs w:val="32"/>
        </w:rPr>
        <w:t>一、制定专家指引的必要性</w:t>
      </w:r>
    </w:p>
    <w:p w:rsidR="00BF05F4" w:rsidRDefault="006E42F9" w:rsidP="006B0865">
      <w:pPr>
        <w:widowControl/>
        <w:spacing w:line="360" w:lineRule="auto"/>
        <w:ind w:firstLineChars="200" w:firstLine="607"/>
        <w:jc w:val="left"/>
        <w:rPr>
          <w:rFonts w:ascii="仿宋_GB2312" w:eastAsia="仿宋_GB2312" w:hAnsi="宋体" w:cs="宋体"/>
          <w:kern w:val="0"/>
          <w:sz w:val="32"/>
          <w:szCs w:val="32"/>
        </w:rPr>
      </w:pPr>
      <w:r>
        <w:rPr>
          <w:rFonts w:ascii="仿宋_GB2312" w:eastAsia="仿宋_GB2312" w:hAnsi="宋体" w:cs="宋体"/>
          <w:kern w:val="0"/>
          <w:sz w:val="32"/>
          <w:szCs w:val="32"/>
        </w:rPr>
        <w:t>核查验证是资产评估程序中的重要环节，也是资产评估工作的重要手段。资产评估结论是否可靠，在很大程度上依赖于资产评估专业人员收集到的资料是否真实、准确和完整，但是资产评估专业人员在核查验证中遇到的问题却越来越复杂，有必要制定专门的专家指引。</w:t>
      </w:r>
    </w:p>
    <w:p w:rsidR="00BF05F4" w:rsidRDefault="001C0931" w:rsidP="001C0931">
      <w:pPr>
        <w:widowControl/>
        <w:spacing w:line="360" w:lineRule="auto"/>
        <w:ind w:firstLineChars="147" w:firstLine="446"/>
        <w:rPr>
          <w:rFonts w:ascii="楷体" w:eastAsia="楷体" w:hAnsi="楷体" w:cs="宋体"/>
          <w:kern w:val="0"/>
          <w:sz w:val="32"/>
          <w:szCs w:val="32"/>
        </w:rPr>
      </w:pPr>
      <w:r w:rsidRPr="001C0931">
        <w:rPr>
          <w:rFonts w:ascii="楷体" w:eastAsia="楷体" w:hAnsi="楷体" w:cs="宋体" w:hint="eastAsia"/>
          <w:kern w:val="0"/>
          <w:sz w:val="32"/>
          <w:szCs w:val="32"/>
        </w:rPr>
        <w:t>（一）</w:t>
      </w:r>
      <w:r w:rsidR="006E42F9">
        <w:rPr>
          <w:rFonts w:ascii="楷体" w:eastAsia="楷体" w:hAnsi="楷体" w:cs="宋体"/>
          <w:kern w:val="0"/>
          <w:sz w:val="32"/>
          <w:szCs w:val="32"/>
        </w:rPr>
        <w:t>法律法规的规定</w:t>
      </w:r>
    </w:p>
    <w:p w:rsidR="00BF05F4" w:rsidRDefault="006E42F9" w:rsidP="006B0865">
      <w:pPr>
        <w:widowControl/>
        <w:spacing w:line="360" w:lineRule="auto"/>
        <w:ind w:firstLineChars="200" w:firstLine="607"/>
        <w:jc w:val="left"/>
        <w:rPr>
          <w:rFonts w:ascii="仿宋_GB2312" w:eastAsia="仿宋_GB2312" w:hAnsi="宋体" w:cs="宋体"/>
          <w:kern w:val="0"/>
          <w:sz w:val="32"/>
          <w:szCs w:val="32"/>
        </w:rPr>
      </w:pPr>
      <w:r>
        <w:rPr>
          <w:rFonts w:ascii="仿宋_GB2312" w:eastAsia="仿宋_GB2312" w:hAnsi="宋体" w:cs="宋体"/>
          <w:kern w:val="0"/>
          <w:sz w:val="32"/>
          <w:szCs w:val="32"/>
        </w:rPr>
        <w:t>2016 年 12 月1日起施行</w:t>
      </w:r>
      <w:r>
        <w:rPr>
          <w:rFonts w:ascii="仿宋_GB2312" w:eastAsia="仿宋_GB2312" w:hAnsi="宋体" w:cs="宋体" w:hint="eastAsia"/>
          <w:kern w:val="0"/>
          <w:sz w:val="32"/>
          <w:szCs w:val="32"/>
        </w:rPr>
        <w:t>的</w:t>
      </w:r>
      <w:r>
        <w:rPr>
          <w:rFonts w:ascii="仿宋_GB2312" w:eastAsia="仿宋_GB2312" w:hAnsi="宋体" w:cs="宋体"/>
          <w:kern w:val="0"/>
          <w:sz w:val="32"/>
          <w:szCs w:val="32"/>
        </w:rPr>
        <w:t>《中华人民共和国资产评估法》第十三条规定</w:t>
      </w:r>
      <w:r>
        <w:rPr>
          <w:rFonts w:ascii="仿宋_GB2312" w:eastAsia="仿宋_GB2312" w:hAnsi="宋体" w:cs="宋体" w:hint="eastAsia"/>
          <w:kern w:val="0"/>
          <w:sz w:val="32"/>
          <w:szCs w:val="32"/>
        </w:rPr>
        <w:t>，</w:t>
      </w:r>
      <w:r>
        <w:rPr>
          <w:rFonts w:ascii="仿宋_GB2312" w:eastAsia="仿宋_GB2312" w:hAnsi="宋体" w:cs="宋体"/>
          <w:kern w:val="0"/>
          <w:sz w:val="32"/>
          <w:szCs w:val="32"/>
        </w:rPr>
        <w:t>评估专业人员应当履行的义务包括</w:t>
      </w:r>
      <w:r>
        <w:rPr>
          <w:rFonts w:ascii="仿宋_GB2312" w:eastAsia="仿宋_GB2312" w:hAnsi="宋体" w:cs="宋体"/>
          <w:kern w:val="0"/>
          <w:sz w:val="32"/>
          <w:szCs w:val="32"/>
        </w:rPr>
        <w:t>“</w:t>
      </w:r>
      <w:r>
        <w:rPr>
          <w:rFonts w:ascii="仿宋_GB2312" w:eastAsia="仿宋_GB2312" w:hAnsi="宋体" w:cs="宋体"/>
          <w:kern w:val="0"/>
          <w:sz w:val="32"/>
          <w:szCs w:val="32"/>
        </w:rPr>
        <w:t>对评估活动中使用的有关文件、证明和资料的真实性、准确性、完整性进行核查和验证</w:t>
      </w:r>
      <w:r>
        <w:rPr>
          <w:rFonts w:ascii="仿宋_GB2312" w:eastAsia="仿宋_GB2312" w:hAnsi="宋体" w:cs="宋体"/>
          <w:kern w:val="0"/>
          <w:sz w:val="32"/>
          <w:szCs w:val="32"/>
        </w:rPr>
        <w:t>”</w:t>
      </w:r>
      <w:r>
        <w:rPr>
          <w:rFonts w:ascii="仿宋_GB2312" w:eastAsia="仿宋_GB2312" w:hAnsi="宋体" w:cs="宋体"/>
          <w:kern w:val="0"/>
          <w:sz w:val="32"/>
          <w:szCs w:val="32"/>
        </w:rPr>
        <w:t>，第二十五条指出</w:t>
      </w:r>
      <w:r>
        <w:rPr>
          <w:rFonts w:ascii="仿宋_GB2312" w:eastAsia="仿宋_GB2312" w:hAnsi="宋体" w:cs="宋体"/>
          <w:kern w:val="0"/>
          <w:sz w:val="32"/>
          <w:szCs w:val="32"/>
        </w:rPr>
        <w:t>“</w:t>
      </w:r>
      <w:r>
        <w:rPr>
          <w:rFonts w:ascii="仿宋_GB2312" w:eastAsia="仿宋_GB2312" w:hAnsi="宋体" w:cs="宋体"/>
          <w:kern w:val="0"/>
          <w:sz w:val="32"/>
          <w:szCs w:val="32"/>
        </w:rPr>
        <w:t>评估专业人员应当根据评估业务具体情况，对评估对象进行现场调查，收集权属证明、财务会计信息和其他资料并进行核查验证、分析整理，作为评</w:t>
      </w:r>
      <w:r>
        <w:rPr>
          <w:rFonts w:ascii="仿宋_GB2312" w:eastAsia="仿宋_GB2312" w:hAnsi="宋体" w:cs="宋体"/>
          <w:kern w:val="0"/>
          <w:sz w:val="32"/>
          <w:szCs w:val="32"/>
        </w:rPr>
        <w:lastRenderedPageBreak/>
        <w:t>估的依据</w:t>
      </w:r>
      <w:r>
        <w:rPr>
          <w:rFonts w:ascii="仿宋_GB2312" w:eastAsia="仿宋_GB2312" w:hAnsi="宋体" w:cs="宋体"/>
          <w:kern w:val="0"/>
          <w:sz w:val="32"/>
          <w:szCs w:val="32"/>
        </w:rPr>
        <w:t>”</w:t>
      </w:r>
      <w:r>
        <w:rPr>
          <w:rFonts w:ascii="仿宋_GB2312" w:eastAsia="仿宋_GB2312" w:hAnsi="宋体" w:cs="宋体"/>
          <w:kern w:val="0"/>
          <w:sz w:val="32"/>
          <w:szCs w:val="32"/>
        </w:rPr>
        <w:t>。因此，制定专家指引是落实法律法规相关要求的一项重要工作。</w:t>
      </w:r>
    </w:p>
    <w:p w:rsidR="00BF05F4" w:rsidRDefault="001C0931" w:rsidP="006B0865">
      <w:pPr>
        <w:widowControl/>
        <w:spacing w:line="360" w:lineRule="auto"/>
        <w:ind w:firstLineChars="197" w:firstLine="598"/>
        <w:rPr>
          <w:rFonts w:ascii="楷体" w:eastAsia="楷体" w:hAnsi="楷体" w:cs="宋体"/>
          <w:kern w:val="0"/>
          <w:sz w:val="32"/>
          <w:szCs w:val="32"/>
        </w:rPr>
      </w:pPr>
      <w:r w:rsidRPr="001C0931">
        <w:rPr>
          <w:rFonts w:ascii="楷体" w:eastAsia="楷体" w:hAnsi="楷体" w:cs="宋体" w:hint="eastAsia"/>
          <w:kern w:val="0"/>
          <w:sz w:val="32"/>
          <w:szCs w:val="32"/>
        </w:rPr>
        <w:t>（</w:t>
      </w:r>
      <w:r>
        <w:rPr>
          <w:rFonts w:ascii="楷体" w:eastAsia="楷体" w:hAnsi="楷体" w:cs="宋体" w:hint="eastAsia"/>
          <w:kern w:val="0"/>
          <w:sz w:val="32"/>
          <w:szCs w:val="32"/>
        </w:rPr>
        <w:t>二</w:t>
      </w:r>
      <w:r w:rsidRPr="001C0931">
        <w:rPr>
          <w:rFonts w:ascii="楷体" w:eastAsia="楷体" w:hAnsi="楷体" w:cs="宋体" w:hint="eastAsia"/>
          <w:kern w:val="0"/>
          <w:sz w:val="32"/>
          <w:szCs w:val="32"/>
        </w:rPr>
        <w:t>）</w:t>
      </w:r>
      <w:r w:rsidR="006E42F9">
        <w:rPr>
          <w:rFonts w:ascii="楷体" w:eastAsia="楷体" w:hAnsi="楷体" w:cs="宋体" w:hint="eastAsia"/>
          <w:kern w:val="0"/>
          <w:sz w:val="32"/>
          <w:szCs w:val="32"/>
        </w:rPr>
        <w:t>指导</w:t>
      </w:r>
      <w:r w:rsidR="006E42F9">
        <w:rPr>
          <w:rFonts w:ascii="楷体" w:eastAsia="楷体" w:hAnsi="楷体" w:cs="宋体"/>
          <w:kern w:val="0"/>
          <w:sz w:val="32"/>
          <w:szCs w:val="32"/>
        </w:rPr>
        <w:t>执业的要求</w:t>
      </w:r>
    </w:p>
    <w:p w:rsidR="00BF05F4" w:rsidRDefault="006E42F9" w:rsidP="006B0865">
      <w:pPr>
        <w:widowControl/>
        <w:spacing w:line="360" w:lineRule="auto"/>
        <w:ind w:firstLineChars="200" w:firstLine="607"/>
        <w:jc w:val="left"/>
        <w:rPr>
          <w:rFonts w:ascii="仿宋_GB2312" w:eastAsia="仿宋_GB2312" w:hAnsi="宋体" w:cs="宋体"/>
          <w:kern w:val="0"/>
          <w:sz w:val="32"/>
          <w:szCs w:val="32"/>
        </w:rPr>
      </w:pPr>
      <w:r>
        <w:rPr>
          <w:rFonts w:ascii="仿宋_GB2312" w:eastAsia="仿宋_GB2312" w:hAnsi="宋体" w:cs="宋体"/>
          <w:kern w:val="0"/>
          <w:sz w:val="32"/>
          <w:szCs w:val="32"/>
        </w:rPr>
        <w:t>评估法</w:t>
      </w:r>
      <w:r>
        <w:rPr>
          <w:rFonts w:ascii="仿宋_GB2312" w:eastAsia="仿宋_GB2312" w:hAnsi="宋体" w:cs="宋体" w:hint="eastAsia"/>
          <w:kern w:val="0"/>
          <w:sz w:val="32"/>
          <w:szCs w:val="32"/>
        </w:rPr>
        <w:t>实施</w:t>
      </w:r>
      <w:r>
        <w:rPr>
          <w:rFonts w:ascii="仿宋_GB2312" w:eastAsia="仿宋_GB2312" w:hAnsi="宋体" w:cs="宋体"/>
          <w:kern w:val="0"/>
          <w:sz w:val="32"/>
          <w:szCs w:val="32"/>
        </w:rPr>
        <w:t>以后，中国资产评估协会在财政部的指导下对资产评估准则进行了全面修订。修订后的《资产评估基本准则》《资产评估执业准则</w:t>
      </w:r>
      <w:r>
        <w:rPr>
          <w:rFonts w:ascii="仿宋_GB2312" w:eastAsia="仿宋_GB2312" w:hAnsi="宋体" w:cs="宋体"/>
          <w:kern w:val="0"/>
          <w:sz w:val="32"/>
          <w:szCs w:val="32"/>
        </w:rPr>
        <w:t>——</w:t>
      </w:r>
      <w:r>
        <w:rPr>
          <w:rFonts w:ascii="仿宋_GB2312" w:eastAsia="仿宋_GB2312" w:hAnsi="宋体" w:cs="宋体"/>
          <w:kern w:val="0"/>
          <w:sz w:val="32"/>
          <w:szCs w:val="32"/>
        </w:rPr>
        <w:t>资产评估程序》等只对核查验证程序提出了原则性要求，没有进一步的详细规定，不同的资产评估机构及其资产评估专业人员在具体操作过程中对核查验证的范围、执行方式或程度等重要事项的理解可能存在差异，导致执业质量参差不齐。</w:t>
      </w:r>
      <w:r>
        <w:rPr>
          <w:rFonts w:ascii="仿宋_GB2312" w:eastAsia="仿宋_GB2312" w:hAnsi="宋体" w:cs="宋体" w:hint="eastAsia"/>
          <w:kern w:val="0"/>
          <w:sz w:val="32"/>
          <w:szCs w:val="32"/>
        </w:rPr>
        <w:t>因此</w:t>
      </w:r>
      <w:r>
        <w:rPr>
          <w:rFonts w:ascii="仿宋_GB2312" w:eastAsia="仿宋_GB2312" w:hAnsi="宋体" w:cs="宋体"/>
          <w:kern w:val="0"/>
          <w:sz w:val="32"/>
          <w:szCs w:val="32"/>
        </w:rPr>
        <w:t>制定更为具体和有操作性的专家指引，可以进一步指导资产评估机构及其资产评估专业人员执行核查验证程序。</w:t>
      </w:r>
    </w:p>
    <w:p w:rsidR="00BF05F4" w:rsidRDefault="001C0931" w:rsidP="006B0865">
      <w:pPr>
        <w:widowControl/>
        <w:spacing w:line="360" w:lineRule="auto"/>
        <w:ind w:firstLineChars="147" w:firstLine="446"/>
        <w:rPr>
          <w:rFonts w:ascii="楷体" w:eastAsia="楷体" w:hAnsi="楷体" w:cs="宋体"/>
          <w:kern w:val="0"/>
          <w:sz w:val="32"/>
          <w:szCs w:val="32"/>
        </w:rPr>
      </w:pPr>
      <w:r w:rsidRPr="001C0931">
        <w:rPr>
          <w:rFonts w:ascii="楷体" w:eastAsia="楷体" w:hAnsi="楷体" w:cs="宋体" w:hint="eastAsia"/>
          <w:kern w:val="0"/>
          <w:sz w:val="32"/>
          <w:szCs w:val="32"/>
        </w:rPr>
        <w:t>（</w:t>
      </w:r>
      <w:r>
        <w:rPr>
          <w:rFonts w:ascii="楷体" w:eastAsia="楷体" w:hAnsi="楷体" w:cs="宋体" w:hint="eastAsia"/>
          <w:kern w:val="0"/>
          <w:sz w:val="32"/>
          <w:szCs w:val="32"/>
        </w:rPr>
        <w:t>三</w:t>
      </w:r>
      <w:r w:rsidRPr="001C0931">
        <w:rPr>
          <w:rFonts w:ascii="楷体" w:eastAsia="楷体" w:hAnsi="楷体" w:cs="宋体" w:hint="eastAsia"/>
          <w:kern w:val="0"/>
          <w:sz w:val="32"/>
          <w:szCs w:val="32"/>
        </w:rPr>
        <w:t>）</w:t>
      </w:r>
      <w:r w:rsidR="006E42F9">
        <w:rPr>
          <w:rFonts w:ascii="楷体" w:eastAsia="楷体" w:hAnsi="楷体" w:cs="宋体"/>
          <w:kern w:val="0"/>
          <w:sz w:val="32"/>
          <w:szCs w:val="32"/>
        </w:rPr>
        <w:t>明确责任的需要</w:t>
      </w:r>
    </w:p>
    <w:p w:rsidR="00BF05F4" w:rsidRDefault="006E42F9" w:rsidP="006B0865">
      <w:pPr>
        <w:widowControl/>
        <w:spacing w:line="360" w:lineRule="auto"/>
        <w:ind w:firstLineChars="200" w:firstLine="607"/>
        <w:jc w:val="left"/>
        <w:rPr>
          <w:rFonts w:ascii="仿宋_GB2312" w:eastAsia="仿宋_GB2312" w:hAnsi="宋体" w:cs="宋体"/>
          <w:kern w:val="0"/>
          <w:sz w:val="32"/>
          <w:szCs w:val="32"/>
        </w:rPr>
      </w:pPr>
      <w:r>
        <w:rPr>
          <w:rFonts w:ascii="仿宋_GB2312" w:eastAsia="仿宋_GB2312" w:hAnsi="宋体" w:cs="宋体"/>
          <w:kern w:val="0"/>
          <w:sz w:val="32"/>
          <w:szCs w:val="32"/>
        </w:rPr>
        <w:t xml:space="preserve">随着评估业务的复杂程度不断增加，核查验证的实施难度也在不断提高。同时，政府监管部门、法院等在对资产评估机构及其资产评估专业人员是否规范履行了核查验证程序进行调查及责任界定时，因缺乏具体的判断标准，存在较大的自由裁量权，不利于资产评估行业的健康持续发展。通过制定专家指引，有助于业内外加强对核查验证程序的正确理解，更加明确相关当事人的责任边界，进一步改善评估执业环境，推动评估行业高质量发展。 </w:t>
      </w:r>
    </w:p>
    <w:p w:rsidR="00BF05F4" w:rsidRDefault="006E42F9" w:rsidP="006B0865">
      <w:pPr>
        <w:widowControl/>
        <w:spacing w:line="360" w:lineRule="auto"/>
        <w:ind w:firstLineChars="200" w:firstLine="607"/>
        <w:rPr>
          <w:rFonts w:ascii="黑体" w:eastAsia="黑体" w:hAnsi="黑体" w:cs="宋体"/>
          <w:bCs/>
          <w:kern w:val="0"/>
          <w:sz w:val="32"/>
          <w:szCs w:val="32"/>
        </w:rPr>
      </w:pPr>
      <w:r>
        <w:rPr>
          <w:rFonts w:ascii="黑体" w:eastAsia="黑体" w:hAnsi="黑体" w:cs="宋体"/>
          <w:bCs/>
          <w:kern w:val="0"/>
          <w:sz w:val="32"/>
          <w:szCs w:val="32"/>
        </w:rPr>
        <w:t>二、需要重点关注的内容</w:t>
      </w:r>
    </w:p>
    <w:p w:rsidR="00BF05F4" w:rsidRDefault="001C0931" w:rsidP="006B0865">
      <w:pPr>
        <w:widowControl/>
        <w:spacing w:line="360" w:lineRule="auto"/>
        <w:ind w:firstLineChars="147" w:firstLine="446"/>
        <w:jc w:val="left"/>
        <w:rPr>
          <w:rFonts w:ascii="楷体" w:eastAsia="楷体" w:hAnsi="楷体" w:cs="宋体"/>
          <w:kern w:val="0"/>
          <w:sz w:val="32"/>
          <w:szCs w:val="32"/>
        </w:rPr>
      </w:pPr>
      <w:r w:rsidRPr="001C0931">
        <w:rPr>
          <w:rFonts w:ascii="楷体" w:eastAsia="楷体" w:hAnsi="楷体" w:cs="宋体" w:hint="eastAsia"/>
          <w:kern w:val="0"/>
          <w:sz w:val="32"/>
          <w:szCs w:val="32"/>
        </w:rPr>
        <w:lastRenderedPageBreak/>
        <w:t>（一）</w:t>
      </w:r>
      <w:r w:rsidR="006E42F9">
        <w:rPr>
          <w:rFonts w:ascii="楷体" w:eastAsia="楷体" w:hAnsi="楷体" w:cs="宋体"/>
          <w:kern w:val="0"/>
          <w:sz w:val="32"/>
          <w:szCs w:val="32"/>
        </w:rPr>
        <w:t>关于</w:t>
      </w:r>
      <w:r w:rsidR="006E42F9">
        <w:rPr>
          <w:rFonts w:ascii="楷体" w:eastAsia="楷体" w:hAnsi="楷体" w:cs="宋体" w:hint="eastAsia"/>
          <w:kern w:val="0"/>
          <w:sz w:val="32"/>
          <w:szCs w:val="32"/>
        </w:rPr>
        <w:t>专家</w:t>
      </w:r>
      <w:r w:rsidR="006E42F9">
        <w:rPr>
          <w:rFonts w:ascii="楷体" w:eastAsia="楷体" w:hAnsi="楷体" w:cs="宋体"/>
          <w:kern w:val="0"/>
          <w:sz w:val="32"/>
          <w:szCs w:val="32"/>
        </w:rPr>
        <w:t>指引的体例与结构</w:t>
      </w:r>
    </w:p>
    <w:p w:rsidR="00BF05F4" w:rsidRDefault="006E42F9" w:rsidP="006B0865">
      <w:pPr>
        <w:widowControl/>
        <w:spacing w:line="360" w:lineRule="auto"/>
        <w:ind w:firstLineChars="200" w:firstLine="607"/>
        <w:jc w:val="left"/>
        <w:rPr>
          <w:rFonts w:ascii="仿宋_GB2312" w:eastAsia="仿宋_GB2312" w:hAnsi="宋体" w:cs="宋体"/>
          <w:kern w:val="0"/>
          <w:sz w:val="32"/>
          <w:szCs w:val="32"/>
        </w:rPr>
      </w:pPr>
      <w:r>
        <w:rPr>
          <w:rFonts w:ascii="仿宋_GB2312" w:eastAsia="仿宋_GB2312" w:hAnsi="宋体" w:cs="宋体"/>
          <w:kern w:val="0"/>
          <w:sz w:val="32"/>
          <w:szCs w:val="32"/>
        </w:rPr>
        <w:t>评估实践中，不同性质、作用和来源的资料都可能存在不同的核查验证范围和方法，制定专家指引需要兼顾不同角度的需求。</w:t>
      </w:r>
    </w:p>
    <w:p w:rsidR="00BF05F4" w:rsidRDefault="006E42F9" w:rsidP="006B0865">
      <w:pPr>
        <w:widowControl/>
        <w:spacing w:line="360" w:lineRule="auto"/>
        <w:ind w:firstLineChars="200" w:firstLine="607"/>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专家</w:t>
      </w:r>
      <w:r>
        <w:rPr>
          <w:rFonts w:ascii="仿宋_GB2312" w:eastAsia="仿宋_GB2312" w:hAnsi="宋体" w:cs="宋体"/>
          <w:kern w:val="0"/>
          <w:sz w:val="32"/>
          <w:szCs w:val="32"/>
        </w:rPr>
        <w:t>指引分为</w:t>
      </w:r>
      <w:r>
        <w:rPr>
          <w:rFonts w:ascii="仿宋_GB2312" w:eastAsia="仿宋_GB2312" w:hAnsi="宋体" w:cs="宋体" w:hint="eastAsia"/>
          <w:kern w:val="0"/>
          <w:sz w:val="32"/>
          <w:szCs w:val="32"/>
        </w:rPr>
        <w:t>四</w:t>
      </w:r>
      <w:r>
        <w:rPr>
          <w:rFonts w:ascii="仿宋_GB2312" w:eastAsia="仿宋_GB2312" w:hAnsi="宋体" w:cs="宋体"/>
          <w:kern w:val="0"/>
          <w:sz w:val="32"/>
          <w:szCs w:val="32"/>
        </w:rPr>
        <w:t>章，包括一般提示和特定提示两个层级，涵盖评估对象、资料来源或用途、评估方法三个维度。第一章</w:t>
      </w:r>
      <w:r>
        <w:rPr>
          <w:rFonts w:ascii="仿宋_GB2312" w:eastAsia="仿宋_GB2312" w:hAnsi="宋体" w:cs="宋体"/>
          <w:kern w:val="0"/>
          <w:sz w:val="32"/>
          <w:szCs w:val="32"/>
        </w:rPr>
        <w:t>“</w:t>
      </w:r>
      <w:r>
        <w:rPr>
          <w:rFonts w:ascii="仿宋_GB2312" w:eastAsia="仿宋_GB2312" w:hAnsi="宋体" w:cs="宋体"/>
          <w:kern w:val="0"/>
          <w:sz w:val="32"/>
          <w:szCs w:val="32"/>
        </w:rPr>
        <w:t>引言</w:t>
      </w:r>
      <w:r>
        <w:rPr>
          <w:rFonts w:ascii="仿宋_GB2312" w:eastAsia="仿宋_GB2312" w:hAnsi="宋体" w:cs="宋体"/>
          <w:kern w:val="0"/>
          <w:sz w:val="32"/>
          <w:szCs w:val="32"/>
        </w:rPr>
        <w:t>”</w:t>
      </w:r>
      <w:r>
        <w:rPr>
          <w:rFonts w:ascii="仿宋_GB2312" w:eastAsia="仿宋_GB2312" w:hAnsi="宋体" w:cs="宋体"/>
          <w:kern w:val="0"/>
          <w:sz w:val="32"/>
          <w:szCs w:val="32"/>
        </w:rPr>
        <w:t>部分，主要阐述专家指引的制定目的和适用范围。第二章</w:t>
      </w:r>
      <w:r>
        <w:rPr>
          <w:rFonts w:ascii="仿宋_GB2312" w:eastAsia="仿宋_GB2312" w:hAnsi="宋体" w:cs="宋体"/>
          <w:kern w:val="0"/>
          <w:sz w:val="32"/>
          <w:szCs w:val="32"/>
        </w:rPr>
        <w:t>“</w:t>
      </w:r>
      <w:r>
        <w:rPr>
          <w:rFonts w:ascii="仿宋_GB2312" w:eastAsia="仿宋_GB2312" w:hAnsi="宋体" w:cs="宋体"/>
          <w:kern w:val="0"/>
          <w:sz w:val="32"/>
          <w:szCs w:val="32"/>
        </w:rPr>
        <w:t>基本遵循</w:t>
      </w:r>
      <w:r>
        <w:rPr>
          <w:rFonts w:ascii="仿宋_GB2312" w:eastAsia="仿宋_GB2312" w:hAnsi="宋体" w:cs="宋体"/>
          <w:kern w:val="0"/>
          <w:sz w:val="32"/>
          <w:szCs w:val="32"/>
        </w:rPr>
        <w:t>”</w:t>
      </w:r>
      <w:r>
        <w:rPr>
          <w:rFonts w:ascii="仿宋_GB2312" w:eastAsia="仿宋_GB2312" w:hAnsi="宋体" w:cs="宋体"/>
          <w:kern w:val="0"/>
          <w:sz w:val="32"/>
          <w:szCs w:val="32"/>
        </w:rPr>
        <w:t>部分，对核查验证的一般要求和关注事项进行提示</w:t>
      </w:r>
      <w:r>
        <w:rPr>
          <w:rFonts w:ascii="仿宋_GB2312" w:eastAsia="仿宋_GB2312" w:hAnsi="宋体" w:cs="宋体" w:hint="eastAsia"/>
          <w:kern w:val="0"/>
          <w:sz w:val="32"/>
          <w:szCs w:val="32"/>
        </w:rPr>
        <w:t>。</w:t>
      </w:r>
      <w:r>
        <w:rPr>
          <w:rFonts w:ascii="仿宋_GB2312" w:eastAsia="仿宋_GB2312" w:hAnsi="宋体" w:cs="宋体"/>
          <w:kern w:val="0"/>
          <w:sz w:val="32"/>
          <w:szCs w:val="32"/>
        </w:rPr>
        <w:t>第三章和第四章分别阐述单项资产评估中</w:t>
      </w:r>
      <w:r>
        <w:rPr>
          <w:rFonts w:ascii="仿宋_GB2312" w:eastAsia="仿宋_GB2312" w:hAnsi="宋体" w:cs="宋体"/>
          <w:kern w:val="0"/>
          <w:sz w:val="32"/>
          <w:szCs w:val="32"/>
        </w:rPr>
        <w:t>“</w:t>
      </w:r>
      <w:r>
        <w:rPr>
          <w:rFonts w:ascii="仿宋_GB2312" w:eastAsia="仿宋_GB2312" w:hAnsi="宋体" w:cs="宋体"/>
          <w:kern w:val="0"/>
          <w:sz w:val="32"/>
          <w:szCs w:val="32"/>
        </w:rPr>
        <w:t>不同类型资料的核查验证</w:t>
      </w:r>
      <w:r>
        <w:rPr>
          <w:rFonts w:ascii="仿宋_GB2312" w:eastAsia="仿宋_GB2312" w:hAnsi="宋体" w:cs="宋体"/>
          <w:kern w:val="0"/>
          <w:sz w:val="32"/>
          <w:szCs w:val="32"/>
        </w:rPr>
        <w:t>”</w:t>
      </w:r>
      <w:r>
        <w:rPr>
          <w:rFonts w:ascii="仿宋_GB2312" w:eastAsia="仿宋_GB2312" w:hAnsi="宋体" w:cs="宋体"/>
          <w:kern w:val="0"/>
          <w:sz w:val="32"/>
          <w:szCs w:val="32"/>
        </w:rPr>
        <w:t>和</w:t>
      </w:r>
      <w:r>
        <w:rPr>
          <w:rFonts w:ascii="仿宋_GB2312" w:eastAsia="仿宋_GB2312" w:hAnsi="宋体" w:cs="宋体"/>
          <w:kern w:val="0"/>
          <w:sz w:val="32"/>
          <w:szCs w:val="32"/>
        </w:rPr>
        <w:t>“</w:t>
      </w:r>
      <w:r>
        <w:rPr>
          <w:rFonts w:ascii="仿宋_GB2312" w:eastAsia="仿宋_GB2312" w:hAnsi="宋体" w:cs="宋体"/>
          <w:kern w:val="0"/>
          <w:sz w:val="32"/>
          <w:szCs w:val="32"/>
        </w:rPr>
        <w:t>企业价值评估中的核查验证</w:t>
      </w:r>
      <w:r>
        <w:rPr>
          <w:rFonts w:ascii="仿宋_GB2312" w:eastAsia="仿宋_GB2312" w:hAnsi="宋体" w:cs="宋体"/>
          <w:kern w:val="0"/>
          <w:sz w:val="32"/>
          <w:szCs w:val="32"/>
        </w:rPr>
        <w:t>”</w:t>
      </w:r>
      <w:r>
        <w:rPr>
          <w:rFonts w:ascii="仿宋_GB2312" w:eastAsia="仿宋_GB2312" w:hAnsi="宋体" w:cs="宋体"/>
          <w:kern w:val="0"/>
          <w:sz w:val="32"/>
          <w:szCs w:val="32"/>
        </w:rPr>
        <w:t>。其中，在权属证明资料和财务会计信息资料两部分内容中，按照评估对象类型分类阐述相关提示，在其他相关资料中，</w:t>
      </w:r>
      <w:proofErr w:type="gramStart"/>
      <w:r>
        <w:rPr>
          <w:rFonts w:ascii="仿宋_GB2312" w:eastAsia="仿宋_GB2312" w:hAnsi="宋体" w:cs="宋体"/>
          <w:kern w:val="0"/>
          <w:sz w:val="32"/>
          <w:szCs w:val="32"/>
        </w:rPr>
        <w:t>按照资料</w:t>
      </w:r>
      <w:proofErr w:type="gramEnd"/>
      <w:r>
        <w:rPr>
          <w:rFonts w:ascii="仿宋_GB2312" w:eastAsia="仿宋_GB2312" w:hAnsi="宋体" w:cs="宋体"/>
          <w:kern w:val="0"/>
          <w:sz w:val="32"/>
          <w:szCs w:val="32"/>
        </w:rPr>
        <w:t>的获取渠道或用途分类阐述相关提示，在企业价值评估中的核查验证中，按照不同评估方法分类阐述相关提示。</w:t>
      </w:r>
    </w:p>
    <w:p w:rsidR="00BF05F4" w:rsidRDefault="001C0931" w:rsidP="006B0865">
      <w:pPr>
        <w:widowControl/>
        <w:spacing w:line="360" w:lineRule="auto"/>
        <w:ind w:firstLineChars="147" w:firstLine="446"/>
        <w:jc w:val="left"/>
        <w:rPr>
          <w:rFonts w:ascii="楷体" w:eastAsia="楷体" w:hAnsi="楷体" w:cs="宋体"/>
          <w:kern w:val="0"/>
          <w:sz w:val="32"/>
          <w:szCs w:val="32"/>
        </w:rPr>
      </w:pPr>
      <w:r w:rsidRPr="001C0931">
        <w:rPr>
          <w:rFonts w:ascii="楷体" w:eastAsia="楷体" w:hAnsi="楷体" w:cs="宋体" w:hint="eastAsia"/>
          <w:kern w:val="0"/>
          <w:sz w:val="32"/>
          <w:szCs w:val="32"/>
        </w:rPr>
        <w:t>（</w:t>
      </w:r>
      <w:r>
        <w:rPr>
          <w:rFonts w:ascii="楷体" w:eastAsia="楷体" w:hAnsi="楷体" w:cs="宋体" w:hint="eastAsia"/>
          <w:kern w:val="0"/>
          <w:sz w:val="32"/>
          <w:szCs w:val="32"/>
        </w:rPr>
        <w:t>二</w:t>
      </w:r>
      <w:r w:rsidRPr="001C0931">
        <w:rPr>
          <w:rFonts w:ascii="楷体" w:eastAsia="楷体" w:hAnsi="楷体" w:cs="宋体" w:hint="eastAsia"/>
          <w:kern w:val="0"/>
          <w:sz w:val="32"/>
          <w:szCs w:val="32"/>
        </w:rPr>
        <w:t>）</w:t>
      </w:r>
      <w:r w:rsidR="006E42F9">
        <w:rPr>
          <w:rFonts w:ascii="楷体" w:eastAsia="楷体" w:hAnsi="楷体" w:cs="宋体"/>
          <w:kern w:val="0"/>
          <w:sz w:val="32"/>
          <w:szCs w:val="32"/>
        </w:rPr>
        <w:t>关于核查验证的范围或程度</w:t>
      </w:r>
    </w:p>
    <w:p w:rsidR="00BF05F4" w:rsidRDefault="006E42F9" w:rsidP="006B0865">
      <w:pPr>
        <w:widowControl/>
        <w:spacing w:line="360" w:lineRule="auto"/>
        <w:ind w:firstLineChars="200" w:firstLine="607"/>
        <w:jc w:val="left"/>
        <w:rPr>
          <w:rFonts w:ascii="仿宋_GB2312" w:eastAsia="仿宋_GB2312" w:hAnsi="宋体" w:cs="宋体"/>
          <w:kern w:val="0"/>
          <w:sz w:val="32"/>
          <w:szCs w:val="32"/>
        </w:rPr>
      </w:pPr>
      <w:r>
        <w:rPr>
          <w:rFonts w:ascii="仿宋_GB2312" w:eastAsia="仿宋_GB2312" w:hAnsi="宋体" w:cs="宋体"/>
          <w:kern w:val="0"/>
          <w:sz w:val="32"/>
          <w:szCs w:val="32"/>
        </w:rPr>
        <w:t>资产评估专业人员普遍认为如何理解和实施重要性原则是确定核查验证范围和工作量，以及评价资产评估专业人员是否勤勉尽责的关键，但是每个项目需要核查验证的范围和程度不尽相同。对此，</w:t>
      </w:r>
      <w:r>
        <w:rPr>
          <w:rFonts w:ascii="仿宋_GB2312" w:eastAsia="仿宋_GB2312" w:hAnsi="宋体" w:cs="宋体" w:hint="eastAsia"/>
          <w:kern w:val="0"/>
          <w:sz w:val="32"/>
          <w:szCs w:val="32"/>
        </w:rPr>
        <w:t>专家</w:t>
      </w:r>
      <w:r>
        <w:rPr>
          <w:rFonts w:ascii="仿宋_GB2312" w:eastAsia="仿宋_GB2312" w:hAnsi="宋体" w:cs="宋体"/>
          <w:kern w:val="0"/>
          <w:sz w:val="32"/>
          <w:szCs w:val="32"/>
        </w:rPr>
        <w:t>指引在基本遵循中指出，资产评估专业人员根据项目风险及业务质量控制要求，在执行核查验证程序时可以根据资料对评估结论的重要性水平来决定实施核查验证的范围。核查验证重要性水平应当由资产评估专业人员根据评估</w:t>
      </w:r>
      <w:r>
        <w:rPr>
          <w:rFonts w:ascii="仿宋_GB2312" w:eastAsia="仿宋_GB2312" w:hAnsi="宋体" w:cs="宋体"/>
          <w:kern w:val="0"/>
          <w:sz w:val="32"/>
          <w:szCs w:val="32"/>
        </w:rPr>
        <w:lastRenderedPageBreak/>
        <w:t>目的、被评估单位内控状况、相关资料收集情况、评估对象金额及数量等因素进行综合分析后自行确定。</w:t>
      </w:r>
    </w:p>
    <w:sectPr w:rsidR="00BF05F4" w:rsidSect="00BF05F4">
      <w:footerReference w:type="default" r:id="rId7"/>
      <w:pgSz w:w="11906" w:h="16838"/>
      <w:pgMar w:top="1440" w:right="1797" w:bottom="1440" w:left="1797" w:header="851" w:footer="992" w:gutter="0"/>
      <w:pgNumType w:fmt="numberInDash"/>
      <w:cols w:space="425"/>
      <w:docGrid w:type="linesAndChars" w:linePitch="312" w:charSpace="-34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CE1" w:rsidRDefault="00292CE1" w:rsidP="00BF05F4">
      <w:r>
        <w:separator/>
      </w:r>
    </w:p>
  </w:endnote>
  <w:endnote w:type="continuationSeparator" w:id="0">
    <w:p w:rsidR="00292CE1" w:rsidRDefault="00292CE1" w:rsidP="00BF05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473603"/>
      <w:docPartObj>
        <w:docPartGallery w:val="AutoText"/>
      </w:docPartObj>
    </w:sdtPr>
    <w:sdtEndPr>
      <w:rPr>
        <w:rFonts w:ascii="宋体" w:hAnsi="宋体"/>
        <w:sz w:val="28"/>
        <w:szCs w:val="28"/>
      </w:rPr>
    </w:sdtEndPr>
    <w:sdtContent>
      <w:p w:rsidR="00BF05F4" w:rsidRDefault="0098654C">
        <w:pPr>
          <w:pStyle w:val="a5"/>
          <w:jc w:val="right"/>
          <w:rPr>
            <w:rFonts w:ascii="宋体" w:hAnsi="宋体"/>
            <w:sz w:val="28"/>
            <w:szCs w:val="28"/>
          </w:rPr>
        </w:pPr>
        <w:r>
          <w:rPr>
            <w:rFonts w:ascii="宋体" w:hAnsi="宋体"/>
            <w:sz w:val="28"/>
            <w:szCs w:val="28"/>
          </w:rPr>
          <w:fldChar w:fldCharType="begin"/>
        </w:r>
        <w:r w:rsidR="006E42F9">
          <w:rPr>
            <w:rFonts w:ascii="宋体" w:hAnsi="宋体"/>
            <w:sz w:val="28"/>
            <w:szCs w:val="28"/>
          </w:rPr>
          <w:instrText>PAGE   \* MERGEFORMAT</w:instrText>
        </w:r>
        <w:r>
          <w:rPr>
            <w:rFonts w:ascii="宋体" w:hAnsi="宋体"/>
            <w:sz w:val="28"/>
            <w:szCs w:val="28"/>
          </w:rPr>
          <w:fldChar w:fldCharType="separate"/>
        </w:r>
        <w:r w:rsidR="001C0931" w:rsidRPr="001C0931">
          <w:rPr>
            <w:rFonts w:ascii="宋体" w:hAnsi="宋体"/>
            <w:noProof/>
            <w:sz w:val="28"/>
            <w:szCs w:val="28"/>
            <w:lang w:val="zh-CN"/>
          </w:rPr>
          <w:t>-</w:t>
        </w:r>
        <w:r w:rsidR="001C0931">
          <w:rPr>
            <w:rFonts w:ascii="宋体" w:hAnsi="宋体"/>
            <w:noProof/>
            <w:sz w:val="28"/>
            <w:szCs w:val="28"/>
          </w:rPr>
          <w:t xml:space="preserve"> 4 -</w:t>
        </w:r>
        <w:r>
          <w:rPr>
            <w:rFonts w:ascii="宋体" w:hAnsi="宋体"/>
            <w:sz w:val="28"/>
            <w:szCs w:val="28"/>
          </w:rPr>
          <w:fldChar w:fldCharType="end"/>
        </w:r>
      </w:p>
    </w:sdtContent>
  </w:sdt>
  <w:p w:rsidR="00BF05F4" w:rsidRDefault="00BF05F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CE1" w:rsidRDefault="00292CE1" w:rsidP="00BF05F4">
      <w:r>
        <w:separator/>
      </w:r>
    </w:p>
  </w:footnote>
  <w:footnote w:type="continuationSeparator" w:id="0">
    <w:p w:rsidR="00292CE1" w:rsidRDefault="00292CE1" w:rsidP="00BF05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bordersDoNotSurroundHeader/>
  <w:bordersDoNotSurroundFooter/>
  <w:proofState w:spelling="clean" w:grammar="clean"/>
  <w:defaultTabStop w:val="420"/>
  <w:drawingGridHorizontalSpacing w:val="193"/>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1C71"/>
    <w:rsid w:val="00012C6E"/>
    <w:rsid w:val="00014BD7"/>
    <w:rsid w:val="00025C69"/>
    <w:rsid w:val="000319BE"/>
    <w:rsid w:val="0003581B"/>
    <w:rsid w:val="00043729"/>
    <w:rsid w:val="00044E01"/>
    <w:rsid w:val="00052894"/>
    <w:rsid w:val="00055F57"/>
    <w:rsid w:val="000701A3"/>
    <w:rsid w:val="000737FC"/>
    <w:rsid w:val="0008576A"/>
    <w:rsid w:val="00085EB8"/>
    <w:rsid w:val="0009432B"/>
    <w:rsid w:val="00095765"/>
    <w:rsid w:val="000A425A"/>
    <w:rsid w:val="000B04CF"/>
    <w:rsid w:val="000B35AD"/>
    <w:rsid w:val="000D2823"/>
    <w:rsid w:val="000D2B86"/>
    <w:rsid w:val="000D4164"/>
    <w:rsid w:val="000D688D"/>
    <w:rsid w:val="000E3037"/>
    <w:rsid w:val="000E3369"/>
    <w:rsid w:val="000E4214"/>
    <w:rsid w:val="000F48EF"/>
    <w:rsid w:val="00111637"/>
    <w:rsid w:val="00114799"/>
    <w:rsid w:val="001251D2"/>
    <w:rsid w:val="00127740"/>
    <w:rsid w:val="00142226"/>
    <w:rsid w:val="00144172"/>
    <w:rsid w:val="001750CF"/>
    <w:rsid w:val="00190648"/>
    <w:rsid w:val="0019195D"/>
    <w:rsid w:val="001A2C28"/>
    <w:rsid w:val="001A7336"/>
    <w:rsid w:val="001B6DCF"/>
    <w:rsid w:val="001B7F17"/>
    <w:rsid w:val="001C0931"/>
    <w:rsid w:val="001C49C2"/>
    <w:rsid w:val="001C6F22"/>
    <w:rsid w:val="001D660D"/>
    <w:rsid w:val="001E6455"/>
    <w:rsid w:val="001F33E6"/>
    <w:rsid w:val="001F67BF"/>
    <w:rsid w:val="0021693C"/>
    <w:rsid w:val="002339D5"/>
    <w:rsid w:val="002352BA"/>
    <w:rsid w:val="0023561A"/>
    <w:rsid w:val="002428BD"/>
    <w:rsid w:val="00256C00"/>
    <w:rsid w:val="00292CE1"/>
    <w:rsid w:val="00296331"/>
    <w:rsid w:val="00296D1D"/>
    <w:rsid w:val="002978E1"/>
    <w:rsid w:val="002B47A8"/>
    <w:rsid w:val="002C599F"/>
    <w:rsid w:val="002D2DDB"/>
    <w:rsid w:val="002D38C3"/>
    <w:rsid w:val="002E1332"/>
    <w:rsid w:val="002E3D84"/>
    <w:rsid w:val="002E4359"/>
    <w:rsid w:val="002F25A3"/>
    <w:rsid w:val="002F3CF3"/>
    <w:rsid w:val="00301C33"/>
    <w:rsid w:val="00305D72"/>
    <w:rsid w:val="00306938"/>
    <w:rsid w:val="003306CF"/>
    <w:rsid w:val="003335B1"/>
    <w:rsid w:val="00345A3B"/>
    <w:rsid w:val="00355471"/>
    <w:rsid w:val="00364A59"/>
    <w:rsid w:val="0037448B"/>
    <w:rsid w:val="0038054F"/>
    <w:rsid w:val="00386533"/>
    <w:rsid w:val="00387E8B"/>
    <w:rsid w:val="003A0E07"/>
    <w:rsid w:val="003B1C51"/>
    <w:rsid w:val="003D542B"/>
    <w:rsid w:val="003D70EF"/>
    <w:rsid w:val="003E7C94"/>
    <w:rsid w:val="004021F2"/>
    <w:rsid w:val="0040291E"/>
    <w:rsid w:val="00414789"/>
    <w:rsid w:val="00432A98"/>
    <w:rsid w:val="004437E3"/>
    <w:rsid w:val="00455B54"/>
    <w:rsid w:val="004613DF"/>
    <w:rsid w:val="00466E19"/>
    <w:rsid w:val="004700EF"/>
    <w:rsid w:val="00481DB8"/>
    <w:rsid w:val="0048367F"/>
    <w:rsid w:val="00484D12"/>
    <w:rsid w:val="00484DB1"/>
    <w:rsid w:val="00492052"/>
    <w:rsid w:val="00495E8C"/>
    <w:rsid w:val="004C423F"/>
    <w:rsid w:val="004C4B3A"/>
    <w:rsid w:val="004C5154"/>
    <w:rsid w:val="004C6431"/>
    <w:rsid w:val="004F3EB9"/>
    <w:rsid w:val="00512A76"/>
    <w:rsid w:val="005138C3"/>
    <w:rsid w:val="0051750B"/>
    <w:rsid w:val="00534765"/>
    <w:rsid w:val="0054234C"/>
    <w:rsid w:val="0054464C"/>
    <w:rsid w:val="005612FE"/>
    <w:rsid w:val="00586BFF"/>
    <w:rsid w:val="005A02D0"/>
    <w:rsid w:val="005A1550"/>
    <w:rsid w:val="005A1DFD"/>
    <w:rsid w:val="005A2C56"/>
    <w:rsid w:val="005A7A96"/>
    <w:rsid w:val="005B0156"/>
    <w:rsid w:val="005B6BD9"/>
    <w:rsid w:val="005B7987"/>
    <w:rsid w:val="005C59A1"/>
    <w:rsid w:val="005D6ED0"/>
    <w:rsid w:val="005E2679"/>
    <w:rsid w:val="005E452D"/>
    <w:rsid w:val="005E49BA"/>
    <w:rsid w:val="005E4AD9"/>
    <w:rsid w:val="005F024B"/>
    <w:rsid w:val="005F0A54"/>
    <w:rsid w:val="005F52BA"/>
    <w:rsid w:val="00601718"/>
    <w:rsid w:val="00604656"/>
    <w:rsid w:val="0063180C"/>
    <w:rsid w:val="00652C30"/>
    <w:rsid w:val="006623FD"/>
    <w:rsid w:val="00667748"/>
    <w:rsid w:val="0068126C"/>
    <w:rsid w:val="00683AD6"/>
    <w:rsid w:val="00684C56"/>
    <w:rsid w:val="006B0865"/>
    <w:rsid w:val="006B560D"/>
    <w:rsid w:val="006C4341"/>
    <w:rsid w:val="006D1D63"/>
    <w:rsid w:val="006E42F9"/>
    <w:rsid w:val="006E5A17"/>
    <w:rsid w:val="00703AC1"/>
    <w:rsid w:val="00723C2E"/>
    <w:rsid w:val="007260AC"/>
    <w:rsid w:val="007321CA"/>
    <w:rsid w:val="00733F1B"/>
    <w:rsid w:val="00746458"/>
    <w:rsid w:val="00746CCE"/>
    <w:rsid w:val="00747AA2"/>
    <w:rsid w:val="00754597"/>
    <w:rsid w:val="0076223B"/>
    <w:rsid w:val="00774461"/>
    <w:rsid w:val="00774871"/>
    <w:rsid w:val="00777983"/>
    <w:rsid w:val="007808CF"/>
    <w:rsid w:val="00782242"/>
    <w:rsid w:val="007831D4"/>
    <w:rsid w:val="00790D86"/>
    <w:rsid w:val="007A2D6C"/>
    <w:rsid w:val="007B28E2"/>
    <w:rsid w:val="007C7D5C"/>
    <w:rsid w:val="007D3FEA"/>
    <w:rsid w:val="007E0996"/>
    <w:rsid w:val="007F5637"/>
    <w:rsid w:val="0080009F"/>
    <w:rsid w:val="008044B0"/>
    <w:rsid w:val="008050B6"/>
    <w:rsid w:val="0080639B"/>
    <w:rsid w:val="00810ADB"/>
    <w:rsid w:val="00810FF6"/>
    <w:rsid w:val="00812AE9"/>
    <w:rsid w:val="00815944"/>
    <w:rsid w:val="00816F5E"/>
    <w:rsid w:val="00827CB7"/>
    <w:rsid w:val="00831123"/>
    <w:rsid w:val="00845CAC"/>
    <w:rsid w:val="00850A18"/>
    <w:rsid w:val="00853F89"/>
    <w:rsid w:val="00855A9B"/>
    <w:rsid w:val="00874845"/>
    <w:rsid w:val="0087663D"/>
    <w:rsid w:val="008A2B41"/>
    <w:rsid w:val="008A486B"/>
    <w:rsid w:val="008B40D8"/>
    <w:rsid w:val="008C0203"/>
    <w:rsid w:val="008D1494"/>
    <w:rsid w:val="008D2AD1"/>
    <w:rsid w:val="008F0477"/>
    <w:rsid w:val="008F57E3"/>
    <w:rsid w:val="00924547"/>
    <w:rsid w:val="009262DB"/>
    <w:rsid w:val="00931213"/>
    <w:rsid w:val="00934CC2"/>
    <w:rsid w:val="00941B33"/>
    <w:rsid w:val="0095435F"/>
    <w:rsid w:val="009578D0"/>
    <w:rsid w:val="00961BF5"/>
    <w:rsid w:val="009626FF"/>
    <w:rsid w:val="009628C2"/>
    <w:rsid w:val="00967293"/>
    <w:rsid w:val="009705CA"/>
    <w:rsid w:val="00975603"/>
    <w:rsid w:val="00976EB8"/>
    <w:rsid w:val="00982217"/>
    <w:rsid w:val="0098654C"/>
    <w:rsid w:val="0098723D"/>
    <w:rsid w:val="009A2763"/>
    <w:rsid w:val="009A62A9"/>
    <w:rsid w:val="009D107C"/>
    <w:rsid w:val="009D5711"/>
    <w:rsid w:val="009D5A4C"/>
    <w:rsid w:val="009D73CC"/>
    <w:rsid w:val="009E6F61"/>
    <w:rsid w:val="009F5DDF"/>
    <w:rsid w:val="00A47E60"/>
    <w:rsid w:val="00A53FDD"/>
    <w:rsid w:val="00A71559"/>
    <w:rsid w:val="00A81DA3"/>
    <w:rsid w:val="00A85CAC"/>
    <w:rsid w:val="00A861C0"/>
    <w:rsid w:val="00A869D3"/>
    <w:rsid w:val="00A90B21"/>
    <w:rsid w:val="00A90FD5"/>
    <w:rsid w:val="00AA0EBA"/>
    <w:rsid w:val="00AB72FE"/>
    <w:rsid w:val="00AE0026"/>
    <w:rsid w:val="00AE382F"/>
    <w:rsid w:val="00AE6783"/>
    <w:rsid w:val="00AF4D50"/>
    <w:rsid w:val="00AF6F6D"/>
    <w:rsid w:val="00B00DFF"/>
    <w:rsid w:val="00B01916"/>
    <w:rsid w:val="00B12AA5"/>
    <w:rsid w:val="00B15E21"/>
    <w:rsid w:val="00B237A9"/>
    <w:rsid w:val="00B37812"/>
    <w:rsid w:val="00B51F83"/>
    <w:rsid w:val="00B55E13"/>
    <w:rsid w:val="00B660ED"/>
    <w:rsid w:val="00B746B8"/>
    <w:rsid w:val="00B840AC"/>
    <w:rsid w:val="00BA07AF"/>
    <w:rsid w:val="00BA1E47"/>
    <w:rsid w:val="00BA1E7F"/>
    <w:rsid w:val="00BA4EE7"/>
    <w:rsid w:val="00BB064C"/>
    <w:rsid w:val="00BB0F20"/>
    <w:rsid w:val="00BB15E0"/>
    <w:rsid w:val="00BC48FB"/>
    <w:rsid w:val="00BD192B"/>
    <w:rsid w:val="00BD3CA6"/>
    <w:rsid w:val="00BE038E"/>
    <w:rsid w:val="00BE0D2A"/>
    <w:rsid w:val="00BE38CE"/>
    <w:rsid w:val="00BF05F4"/>
    <w:rsid w:val="00BF1E50"/>
    <w:rsid w:val="00BF4DD7"/>
    <w:rsid w:val="00BF6110"/>
    <w:rsid w:val="00C01C71"/>
    <w:rsid w:val="00C33356"/>
    <w:rsid w:val="00C43B40"/>
    <w:rsid w:val="00C444A8"/>
    <w:rsid w:val="00C55F1C"/>
    <w:rsid w:val="00C634B9"/>
    <w:rsid w:val="00C64ED4"/>
    <w:rsid w:val="00C77ABA"/>
    <w:rsid w:val="00C91F42"/>
    <w:rsid w:val="00CC7CE0"/>
    <w:rsid w:val="00CD1DB2"/>
    <w:rsid w:val="00CD3BA8"/>
    <w:rsid w:val="00CD71E8"/>
    <w:rsid w:val="00CE39D1"/>
    <w:rsid w:val="00CF129C"/>
    <w:rsid w:val="00D06A1D"/>
    <w:rsid w:val="00D10AED"/>
    <w:rsid w:val="00D12311"/>
    <w:rsid w:val="00D1617C"/>
    <w:rsid w:val="00D1620D"/>
    <w:rsid w:val="00D17E20"/>
    <w:rsid w:val="00D26AA4"/>
    <w:rsid w:val="00D42A1B"/>
    <w:rsid w:val="00D5284D"/>
    <w:rsid w:val="00D57DDB"/>
    <w:rsid w:val="00D6395B"/>
    <w:rsid w:val="00D66BE7"/>
    <w:rsid w:val="00D7559F"/>
    <w:rsid w:val="00D84D23"/>
    <w:rsid w:val="00DA042B"/>
    <w:rsid w:val="00DB179A"/>
    <w:rsid w:val="00DC0459"/>
    <w:rsid w:val="00DD10F1"/>
    <w:rsid w:val="00DD5376"/>
    <w:rsid w:val="00DD704E"/>
    <w:rsid w:val="00DE3E7B"/>
    <w:rsid w:val="00DE4ADA"/>
    <w:rsid w:val="00E15BD3"/>
    <w:rsid w:val="00E35EF5"/>
    <w:rsid w:val="00E62D85"/>
    <w:rsid w:val="00E96406"/>
    <w:rsid w:val="00E97E33"/>
    <w:rsid w:val="00EA1295"/>
    <w:rsid w:val="00EA712C"/>
    <w:rsid w:val="00EC288A"/>
    <w:rsid w:val="00EC3A5B"/>
    <w:rsid w:val="00EC7F27"/>
    <w:rsid w:val="00F162CB"/>
    <w:rsid w:val="00F2013A"/>
    <w:rsid w:val="00F32DBC"/>
    <w:rsid w:val="00F33A38"/>
    <w:rsid w:val="00F36A3B"/>
    <w:rsid w:val="00F423D7"/>
    <w:rsid w:val="00F45684"/>
    <w:rsid w:val="00F53E9A"/>
    <w:rsid w:val="00F5400F"/>
    <w:rsid w:val="00F635B3"/>
    <w:rsid w:val="00F83C33"/>
    <w:rsid w:val="00F97A2C"/>
    <w:rsid w:val="00FA47C1"/>
    <w:rsid w:val="00FC3A0C"/>
    <w:rsid w:val="00FF2CE1"/>
    <w:rsid w:val="15A611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lsdException w:name="annotation text" w:qFormat="1"/>
    <w:lsdException w:name="header" w:semiHidden="0"/>
    <w:lsdException w:name="footer" w:semiHidden="0" w:qFormat="1"/>
    <w:lsdException w:name="caption" w:uiPriority="35" w:qFormat="1"/>
    <w:lsdException w:name="footnote reference" w:semiHidden="0" w:uiPriority="0"/>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5F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BF05F4"/>
    <w:pPr>
      <w:jc w:val="left"/>
    </w:pPr>
  </w:style>
  <w:style w:type="paragraph" w:styleId="a4">
    <w:name w:val="Balloon Text"/>
    <w:basedOn w:val="a"/>
    <w:link w:val="Char0"/>
    <w:uiPriority w:val="99"/>
    <w:semiHidden/>
    <w:unhideWhenUsed/>
    <w:qFormat/>
    <w:rsid w:val="00BF05F4"/>
    <w:rPr>
      <w:rFonts w:ascii="宋体"/>
      <w:sz w:val="18"/>
      <w:szCs w:val="18"/>
    </w:rPr>
  </w:style>
  <w:style w:type="paragraph" w:styleId="a5">
    <w:name w:val="footer"/>
    <w:basedOn w:val="a"/>
    <w:link w:val="Char1"/>
    <w:uiPriority w:val="99"/>
    <w:unhideWhenUsed/>
    <w:qFormat/>
    <w:rsid w:val="00BF05F4"/>
    <w:pPr>
      <w:tabs>
        <w:tab w:val="center" w:pos="4153"/>
        <w:tab w:val="right" w:pos="8306"/>
      </w:tabs>
      <w:snapToGrid w:val="0"/>
      <w:jc w:val="left"/>
    </w:pPr>
    <w:rPr>
      <w:sz w:val="18"/>
      <w:szCs w:val="18"/>
    </w:rPr>
  </w:style>
  <w:style w:type="paragraph" w:styleId="a6">
    <w:name w:val="header"/>
    <w:basedOn w:val="a"/>
    <w:link w:val="Char2"/>
    <w:uiPriority w:val="99"/>
    <w:unhideWhenUsed/>
    <w:rsid w:val="00BF05F4"/>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nhideWhenUsed/>
    <w:rsid w:val="00BF05F4"/>
    <w:pPr>
      <w:snapToGrid w:val="0"/>
      <w:jc w:val="left"/>
    </w:pPr>
    <w:rPr>
      <w:sz w:val="18"/>
      <w:szCs w:val="18"/>
    </w:rPr>
  </w:style>
  <w:style w:type="paragraph" w:styleId="a8">
    <w:name w:val="annotation subject"/>
    <w:basedOn w:val="a3"/>
    <w:next w:val="a3"/>
    <w:link w:val="Char4"/>
    <w:uiPriority w:val="99"/>
    <w:semiHidden/>
    <w:unhideWhenUsed/>
    <w:qFormat/>
    <w:rsid w:val="00BF05F4"/>
    <w:rPr>
      <w:b/>
      <w:bCs/>
    </w:rPr>
  </w:style>
  <w:style w:type="character" w:styleId="a9">
    <w:name w:val="annotation reference"/>
    <w:basedOn w:val="a0"/>
    <w:uiPriority w:val="99"/>
    <w:semiHidden/>
    <w:unhideWhenUsed/>
    <w:qFormat/>
    <w:rsid w:val="00BF05F4"/>
    <w:rPr>
      <w:sz w:val="21"/>
      <w:szCs w:val="21"/>
    </w:rPr>
  </w:style>
  <w:style w:type="character" w:styleId="aa">
    <w:name w:val="footnote reference"/>
    <w:unhideWhenUsed/>
    <w:rsid w:val="00BF05F4"/>
    <w:rPr>
      <w:vertAlign w:val="superscript"/>
    </w:rPr>
  </w:style>
  <w:style w:type="character" w:customStyle="1" w:styleId="Char3">
    <w:name w:val="脚注文本 Char"/>
    <w:basedOn w:val="a0"/>
    <w:link w:val="a7"/>
    <w:rsid w:val="00BF05F4"/>
    <w:rPr>
      <w:rFonts w:ascii="Times New Roman" w:eastAsia="宋体" w:hAnsi="Times New Roman" w:cs="Times New Roman"/>
      <w:sz w:val="18"/>
      <w:szCs w:val="18"/>
    </w:rPr>
  </w:style>
  <w:style w:type="character" w:customStyle="1" w:styleId="Char2">
    <w:name w:val="页眉 Char"/>
    <w:basedOn w:val="a0"/>
    <w:link w:val="a6"/>
    <w:uiPriority w:val="99"/>
    <w:qFormat/>
    <w:rsid w:val="00BF05F4"/>
    <w:rPr>
      <w:rFonts w:ascii="Times New Roman" w:eastAsia="宋体" w:hAnsi="Times New Roman" w:cs="Times New Roman"/>
      <w:sz w:val="18"/>
      <w:szCs w:val="18"/>
    </w:rPr>
  </w:style>
  <w:style w:type="character" w:customStyle="1" w:styleId="Char1">
    <w:name w:val="页脚 Char"/>
    <w:basedOn w:val="a0"/>
    <w:link w:val="a5"/>
    <w:uiPriority w:val="99"/>
    <w:qFormat/>
    <w:rsid w:val="00BF05F4"/>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BF05F4"/>
    <w:rPr>
      <w:rFonts w:ascii="宋体" w:eastAsia="宋体" w:hAnsi="Times New Roman" w:cs="Times New Roman"/>
      <w:sz w:val="18"/>
      <w:szCs w:val="18"/>
    </w:rPr>
  </w:style>
  <w:style w:type="character" w:customStyle="1" w:styleId="Char">
    <w:name w:val="批注文字 Char"/>
    <w:basedOn w:val="a0"/>
    <w:link w:val="a3"/>
    <w:uiPriority w:val="99"/>
    <w:semiHidden/>
    <w:qFormat/>
    <w:rsid w:val="00BF05F4"/>
    <w:rPr>
      <w:rFonts w:ascii="Times New Roman" w:eastAsia="宋体" w:hAnsi="Times New Roman" w:cs="Times New Roman"/>
      <w:szCs w:val="24"/>
    </w:rPr>
  </w:style>
  <w:style w:type="character" w:customStyle="1" w:styleId="Char4">
    <w:name w:val="批注主题 Char"/>
    <w:basedOn w:val="Char"/>
    <w:link w:val="a8"/>
    <w:uiPriority w:val="99"/>
    <w:semiHidden/>
    <w:qFormat/>
    <w:rsid w:val="00BF05F4"/>
    <w:rPr>
      <w:rFonts w:ascii="Times New Roman" w:eastAsia="宋体" w:hAnsi="Times New Roman" w:cs="Times New Roman"/>
      <w:b/>
      <w:bCs/>
      <w:szCs w:val="24"/>
    </w:rPr>
  </w:style>
  <w:style w:type="paragraph" w:customStyle="1" w:styleId="1">
    <w:name w:val="修订1"/>
    <w:hidden/>
    <w:uiPriority w:val="99"/>
    <w:semiHidden/>
    <w:qFormat/>
    <w:rsid w:val="00BF05F4"/>
    <w:rPr>
      <w:rFonts w:ascii="Times New Roman" w:eastAsia="宋体" w:hAnsi="Times New Roman" w:cs="Times New Roman"/>
      <w:kern w:val="2"/>
      <w:sz w:val="21"/>
      <w:szCs w:val="24"/>
    </w:rPr>
  </w:style>
  <w:style w:type="paragraph" w:styleId="ab">
    <w:name w:val="List Paragraph"/>
    <w:basedOn w:val="a"/>
    <w:uiPriority w:val="34"/>
    <w:qFormat/>
    <w:rsid w:val="00BF05F4"/>
    <w:pPr>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230</Words>
  <Characters>1317</Characters>
  <Application>Microsoft Office Word</Application>
  <DocSecurity>0</DocSecurity>
  <Lines>10</Lines>
  <Paragraphs>3</Paragraphs>
  <ScaleCrop>false</ScaleCrop>
  <LinksUpToDate>false</LinksUpToDate>
  <CharactersWithSpaces>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2019-07-25T02:37:00Z</dcterms:created>
  <dcterms:modified xsi:type="dcterms:W3CDTF">2019-09-03T01:54:00Z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