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6C" w:rsidRPr="00FE0972" w:rsidRDefault="00195D6C" w:rsidP="00195D6C">
      <w:pPr>
        <w:jc w:val="left"/>
        <w:rPr>
          <w:rFonts w:ascii="黑体" w:eastAsia="黑体" w:hAnsi="黑体"/>
          <w:sz w:val="32"/>
          <w:szCs w:val="32"/>
        </w:rPr>
      </w:pPr>
      <w:r w:rsidRPr="00FE0972">
        <w:rPr>
          <w:rFonts w:ascii="黑体" w:eastAsia="黑体" w:hAnsi="黑体" w:hint="eastAsia"/>
          <w:sz w:val="32"/>
          <w:szCs w:val="32"/>
        </w:rPr>
        <w:t>附件</w:t>
      </w:r>
      <w:r w:rsidR="004A52F3">
        <w:rPr>
          <w:rFonts w:ascii="黑体" w:eastAsia="黑体" w:hAnsi="黑体"/>
          <w:sz w:val="32"/>
          <w:szCs w:val="32"/>
        </w:rPr>
        <w:t>2</w:t>
      </w:r>
      <w:r>
        <w:rPr>
          <w:rFonts w:ascii="黑体" w:eastAsia="黑体" w:hAnsi="黑体" w:hint="eastAsia"/>
          <w:sz w:val="32"/>
          <w:szCs w:val="32"/>
        </w:rPr>
        <w:t>：</w:t>
      </w:r>
    </w:p>
    <w:p w:rsidR="00D700A3" w:rsidRDefault="00487FE9" w:rsidP="00D700A3">
      <w:pPr>
        <w:spacing w:line="360" w:lineRule="auto"/>
        <w:jc w:val="center"/>
        <w:rPr>
          <w:rFonts w:ascii="华文中宋" w:eastAsia="华文中宋" w:hAnsi="华文中宋"/>
          <w:sz w:val="44"/>
          <w:szCs w:val="44"/>
        </w:rPr>
      </w:pPr>
      <w:r>
        <w:rPr>
          <w:rFonts w:ascii="华文中宋" w:eastAsia="华文中宋" w:hAnsi="华文中宋" w:hint="eastAsia"/>
          <w:sz w:val="44"/>
          <w:szCs w:val="44"/>
        </w:rPr>
        <w:t>《</w:t>
      </w:r>
      <w:r w:rsidR="00D52B3F" w:rsidRPr="005E0520">
        <w:rPr>
          <w:rFonts w:ascii="华文中宋" w:eastAsia="华文中宋" w:hAnsi="华文中宋" w:hint="eastAsia"/>
          <w:sz w:val="44"/>
          <w:szCs w:val="44"/>
        </w:rPr>
        <w:t>珠宝首饰评估程序指导意见</w:t>
      </w:r>
    </w:p>
    <w:p w:rsidR="001113DC" w:rsidRPr="005E0520" w:rsidRDefault="00487FE9">
      <w:pPr>
        <w:spacing w:line="360" w:lineRule="auto"/>
        <w:jc w:val="center"/>
        <w:rPr>
          <w:rFonts w:ascii="华文中宋" w:eastAsia="华文中宋" w:hAnsi="华文中宋"/>
          <w:sz w:val="44"/>
          <w:szCs w:val="44"/>
        </w:rPr>
      </w:pPr>
      <w:r>
        <w:rPr>
          <w:rFonts w:ascii="华文中宋" w:eastAsia="华文中宋" w:hAnsi="华文中宋" w:hint="eastAsia"/>
          <w:sz w:val="44"/>
          <w:szCs w:val="44"/>
        </w:rPr>
        <w:t>（征求意见稿）》</w:t>
      </w:r>
      <w:r w:rsidR="00D52B3F" w:rsidRPr="005E0520">
        <w:rPr>
          <w:rFonts w:ascii="华文中宋" w:eastAsia="华文中宋" w:hAnsi="华文中宋" w:hint="eastAsia"/>
          <w:sz w:val="44"/>
          <w:szCs w:val="44"/>
        </w:rPr>
        <w:t>起草说明</w:t>
      </w:r>
      <w:bookmarkStart w:id="0" w:name="_GoBack"/>
      <w:bookmarkEnd w:id="0"/>
    </w:p>
    <w:p w:rsidR="001113DC" w:rsidRPr="00195D6C" w:rsidRDefault="001113DC">
      <w:pPr>
        <w:spacing w:line="360" w:lineRule="auto"/>
        <w:ind w:firstLineChars="200" w:firstLine="640"/>
        <w:rPr>
          <w:rFonts w:ascii="仿宋" w:eastAsia="仿宋" w:hAnsi="仿宋"/>
          <w:sz w:val="32"/>
          <w:szCs w:val="32"/>
        </w:rPr>
      </w:pP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为便于评估机构和评估专业人员以及相关部门、人士理解《珠宝首饰评估程序指导意见</w:t>
      </w:r>
      <w:r w:rsidR="00487FE9">
        <w:rPr>
          <w:rFonts w:ascii="仿宋" w:eastAsia="仿宋" w:hAnsi="仿宋" w:hint="eastAsia"/>
          <w:sz w:val="32"/>
          <w:szCs w:val="32"/>
        </w:rPr>
        <w:t>（征求意见稿）</w:t>
      </w:r>
      <w:r w:rsidRPr="00195D6C">
        <w:rPr>
          <w:rFonts w:ascii="仿宋" w:eastAsia="仿宋" w:hAnsi="仿宋" w:hint="eastAsia"/>
          <w:sz w:val="32"/>
          <w:szCs w:val="32"/>
        </w:rPr>
        <w:t>》，现将有关起草情况说明如下。</w:t>
      </w:r>
    </w:p>
    <w:p w:rsidR="001113DC" w:rsidRPr="00195D6C" w:rsidRDefault="00D52B3F" w:rsidP="00195D6C">
      <w:pPr>
        <w:numPr>
          <w:ilvl w:val="0"/>
          <w:numId w:val="1"/>
        </w:numPr>
        <w:spacing w:beforeLines="50" w:before="156" w:afterLines="50" w:after="156" w:line="360" w:lineRule="auto"/>
        <w:ind w:firstLineChars="200" w:firstLine="643"/>
        <w:rPr>
          <w:rFonts w:ascii="仿宋" w:eastAsia="仿宋" w:hAnsi="仿宋"/>
          <w:b/>
          <w:sz w:val="32"/>
          <w:szCs w:val="32"/>
        </w:rPr>
      </w:pPr>
      <w:r w:rsidRPr="00195D6C">
        <w:rPr>
          <w:rFonts w:ascii="仿宋" w:eastAsia="仿宋" w:hAnsi="仿宋" w:hint="eastAsia"/>
          <w:b/>
          <w:sz w:val="32"/>
          <w:szCs w:val="32"/>
        </w:rPr>
        <w:t>制定《珠宝首饰评估程序指导意见》的必要性</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随着中国经济的</w:t>
      </w:r>
      <w:r w:rsidR="00C87757">
        <w:rPr>
          <w:rFonts w:ascii="仿宋" w:eastAsia="仿宋" w:hAnsi="仿宋" w:hint="eastAsia"/>
          <w:sz w:val="32"/>
          <w:szCs w:val="32"/>
        </w:rPr>
        <w:t>快速发展和人民生活水平的提高</w:t>
      </w:r>
      <w:r w:rsidRPr="00195D6C">
        <w:rPr>
          <w:rFonts w:ascii="仿宋" w:eastAsia="仿宋" w:hAnsi="仿宋" w:hint="eastAsia"/>
          <w:sz w:val="32"/>
          <w:szCs w:val="32"/>
        </w:rPr>
        <w:t>，中国的珠宝企业也</w:t>
      </w:r>
      <w:r w:rsidR="00C87757">
        <w:rPr>
          <w:rFonts w:ascii="仿宋" w:eastAsia="仿宋" w:hAnsi="仿宋" w:hint="eastAsia"/>
          <w:sz w:val="32"/>
          <w:szCs w:val="32"/>
        </w:rPr>
        <w:t>得到长足</w:t>
      </w:r>
      <w:r w:rsidRPr="00195D6C">
        <w:rPr>
          <w:rFonts w:ascii="仿宋" w:eastAsia="仿宋" w:hAnsi="仿宋" w:hint="eastAsia"/>
          <w:sz w:val="32"/>
          <w:szCs w:val="32"/>
        </w:rPr>
        <w:t>发展，并与资本市场产生了密集碰撞和融合。目前，国内A股市场的珠宝上市企业已有十数家。珠宝企业大多以实物资产为主，而珠宝实物资产单体价值较大，数量较多，流动性强，珠宝企业在上市、融资、重组、破产等经济活动中涉及珠宝评估的频次日益增多，尤其对大批量珠宝首饰的高效率评估需求较为急迫。因此，如何在评估程序上进一步规范和细化专业操作程序，是珠宝评估人面临的课题。伴随着经济活动的活跃，经济纠纷甚至法律纠纷日益增多，评估报告质量如何评判也日益提升到日程上来。为此，在现有资产评估准则体系下，在珠宝评估专业技术性实操层面，进一步规范评估程序，细化专业操作步骤，是一个值得研究的课题。</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lastRenderedPageBreak/>
        <w:t>对程序的规范既可以约束珠宝评估专业人员，又可以保护珠宝评估专业人员。同时，引导被服务方理性评价评估工作质量也十分必要，即从评估人员能否客观公正，是否勤勉尽责的角度评判，而非简单地将评估结论是否满意作为唯一标准。所以从专业技术的角度，有针对性地对珠宝评估程序进行系统、全面的行为梳理，并在行业内达成共识，有益于珠宝评估的良性发展。</w:t>
      </w:r>
    </w:p>
    <w:p w:rsidR="001113DC" w:rsidRPr="00195D6C" w:rsidRDefault="00D52B3F" w:rsidP="00195D6C">
      <w:pPr>
        <w:numPr>
          <w:ilvl w:val="0"/>
          <w:numId w:val="1"/>
        </w:numPr>
        <w:spacing w:beforeLines="50" w:before="156" w:afterLines="50" w:after="156" w:line="360" w:lineRule="auto"/>
        <w:ind w:firstLineChars="200" w:firstLine="643"/>
        <w:rPr>
          <w:rFonts w:ascii="仿宋" w:eastAsia="仿宋" w:hAnsi="仿宋"/>
          <w:b/>
          <w:sz w:val="32"/>
          <w:szCs w:val="32"/>
        </w:rPr>
      </w:pPr>
      <w:r w:rsidRPr="00195D6C">
        <w:rPr>
          <w:rFonts w:ascii="仿宋" w:eastAsia="仿宋" w:hAnsi="仿宋" w:hint="eastAsia"/>
          <w:b/>
          <w:sz w:val="32"/>
          <w:szCs w:val="32"/>
        </w:rPr>
        <w:t>国内外珠宝首饰的评估及相关规范</w:t>
      </w:r>
      <w:r w:rsidR="00C87757" w:rsidRPr="00195D6C">
        <w:rPr>
          <w:rFonts w:ascii="仿宋" w:eastAsia="仿宋" w:hAnsi="仿宋" w:hint="eastAsia"/>
          <w:b/>
          <w:sz w:val="32"/>
          <w:szCs w:val="32"/>
        </w:rPr>
        <w:t>发展</w:t>
      </w:r>
    </w:p>
    <w:p w:rsidR="00A91E6B" w:rsidRDefault="00A91E6B">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珠宝评估具有一定的主观性，评估人员的道德素养和专业素质、实践经验决定了评估报告的质量。评估主体不同，其报告质量可谓天壤之别。但如何评判报告质量，是报告使用方和监管方的难题。评估结论是评估工作的核心成果，而合理、专业的评估程序是其支撑，可以有效协助评估报告质量评价。</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美国珠宝评估业形成于</w:t>
      </w:r>
      <w:r w:rsidRPr="00195D6C">
        <w:rPr>
          <w:rFonts w:ascii="仿宋" w:eastAsia="仿宋" w:hAnsi="仿宋"/>
          <w:sz w:val="32"/>
          <w:szCs w:val="32"/>
        </w:rPr>
        <w:t>20</w:t>
      </w:r>
      <w:r w:rsidRPr="00195D6C">
        <w:rPr>
          <w:rFonts w:ascii="仿宋" w:eastAsia="仿宋" w:hAnsi="仿宋" w:hint="eastAsia"/>
          <w:sz w:val="32"/>
          <w:szCs w:val="32"/>
        </w:rPr>
        <w:t>世纪</w:t>
      </w:r>
      <w:r w:rsidRPr="00195D6C">
        <w:rPr>
          <w:rFonts w:ascii="仿宋" w:eastAsia="仿宋" w:hAnsi="仿宋"/>
          <w:sz w:val="32"/>
          <w:szCs w:val="32"/>
        </w:rPr>
        <w:t>70</w:t>
      </w:r>
      <w:r w:rsidRPr="00195D6C">
        <w:rPr>
          <w:rFonts w:ascii="仿宋" w:eastAsia="仿宋" w:hAnsi="仿宋" w:hint="eastAsia"/>
          <w:sz w:val="32"/>
          <w:szCs w:val="32"/>
        </w:rPr>
        <w:t>年代，宝石投资、避税捐赠和易货交易的数量和规模都不断增加，从而对珠宝首饰资产评估的需求迅速扩大，促进珠宝首饰评估从动产评估中分离出来，形成独立的资产评估系列。美国评估师协会</w:t>
      </w:r>
      <w:r w:rsidR="00A91E6B" w:rsidRPr="00195D6C">
        <w:rPr>
          <w:rFonts w:ascii="仿宋" w:eastAsia="仿宋" w:hAnsi="仿宋"/>
          <w:sz w:val="32"/>
          <w:szCs w:val="32"/>
        </w:rPr>
        <w:t>1982</w:t>
      </w:r>
      <w:r w:rsidR="00A91E6B" w:rsidRPr="00195D6C">
        <w:rPr>
          <w:rFonts w:ascii="仿宋" w:eastAsia="仿宋" w:hAnsi="仿宋" w:hint="eastAsia"/>
          <w:sz w:val="32"/>
          <w:szCs w:val="32"/>
        </w:rPr>
        <w:t>年</w:t>
      </w:r>
      <w:r w:rsidRPr="00195D6C">
        <w:rPr>
          <w:rFonts w:ascii="仿宋" w:eastAsia="仿宋" w:hAnsi="仿宋" w:hint="eastAsia"/>
          <w:sz w:val="32"/>
          <w:szCs w:val="32"/>
        </w:rPr>
        <w:t>开设珠宝首饰评估课程</w:t>
      </w:r>
      <w:r w:rsidR="00A91E6B">
        <w:rPr>
          <w:rFonts w:ascii="仿宋" w:eastAsia="仿宋" w:hAnsi="仿宋" w:hint="eastAsia"/>
          <w:sz w:val="32"/>
          <w:szCs w:val="32"/>
        </w:rPr>
        <w:t>，</w:t>
      </w:r>
      <w:r w:rsidRPr="00195D6C">
        <w:rPr>
          <w:rFonts w:ascii="仿宋" w:eastAsia="仿宋" w:hAnsi="仿宋"/>
          <w:sz w:val="32"/>
          <w:szCs w:val="32"/>
        </w:rPr>
        <w:t>1987</w:t>
      </w:r>
      <w:r w:rsidRPr="00195D6C">
        <w:rPr>
          <w:rFonts w:ascii="仿宋" w:eastAsia="仿宋" w:hAnsi="仿宋" w:hint="eastAsia"/>
          <w:sz w:val="32"/>
          <w:szCs w:val="32"/>
        </w:rPr>
        <w:t>年注册了美国政府认可的高级珠宝评估师资格，推动了珠宝评估业的发展。</w:t>
      </w:r>
      <w:r w:rsidR="00C87757" w:rsidRPr="00C87757">
        <w:rPr>
          <w:rFonts w:ascii="仿宋" w:eastAsia="仿宋" w:hAnsi="仿宋" w:hint="eastAsia"/>
          <w:sz w:val="32"/>
          <w:szCs w:val="32"/>
        </w:rPr>
        <w:t>英国皇家特许测量师学会</w:t>
      </w:r>
      <w:r w:rsidR="00C87757">
        <w:rPr>
          <w:rFonts w:ascii="仿宋" w:eastAsia="仿宋" w:hAnsi="仿宋" w:hint="eastAsia"/>
          <w:sz w:val="32"/>
          <w:szCs w:val="32"/>
        </w:rPr>
        <w:t>也设立了珠宝评估专业组别。</w:t>
      </w:r>
      <w:r w:rsidR="00C87757" w:rsidRPr="00C87757">
        <w:rPr>
          <w:rFonts w:ascii="仿宋" w:eastAsia="仿宋" w:hAnsi="仿宋" w:hint="eastAsia"/>
          <w:sz w:val="32"/>
          <w:szCs w:val="32"/>
        </w:rPr>
        <w:t>珠宝首饰评估已成为国际资产评估六大系列之一。</w:t>
      </w:r>
      <w:r w:rsidRPr="00195D6C">
        <w:rPr>
          <w:rFonts w:ascii="仿宋" w:eastAsia="仿宋" w:hAnsi="仿宋" w:hint="eastAsia"/>
          <w:sz w:val="32"/>
          <w:szCs w:val="32"/>
        </w:rPr>
        <w:t>珠宝首饰评估</w:t>
      </w:r>
      <w:r w:rsidR="00143107">
        <w:rPr>
          <w:rFonts w:ascii="仿宋" w:eastAsia="仿宋" w:hAnsi="仿宋" w:hint="eastAsia"/>
          <w:sz w:val="32"/>
          <w:szCs w:val="32"/>
        </w:rPr>
        <w:t>也</w:t>
      </w:r>
      <w:r w:rsidRPr="00195D6C">
        <w:rPr>
          <w:rFonts w:ascii="仿宋" w:eastAsia="仿宋" w:hAnsi="仿宋" w:hint="eastAsia"/>
          <w:sz w:val="32"/>
          <w:szCs w:val="32"/>
        </w:rPr>
        <w:t>是</w:t>
      </w:r>
      <w:r w:rsidRPr="00195D6C">
        <w:rPr>
          <w:rFonts w:ascii="仿宋" w:eastAsia="仿宋" w:hAnsi="仿宋" w:hint="eastAsia"/>
          <w:sz w:val="32"/>
          <w:szCs w:val="32"/>
        </w:rPr>
        <w:lastRenderedPageBreak/>
        <w:t>我国资产评估的重要组成部分，是评估准则</w:t>
      </w:r>
      <w:r w:rsidR="00143107" w:rsidRPr="00195D6C">
        <w:rPr>
          <w:rFonts w:ascii="仿宋" w:eastAsia="仿宋" w:hAnsi="仿宋" w:hint="eastAsia"/>
          <w:sz w:val="32"/>
          <w:szCs w:val="32"/>
        </w:rPr>
        <w:t>规范</w:t>
      </w:r>
      <w:r w:rsidRPr="00195D6C">
        <w:rPr>
          <w:rFonts w:ascii="仿宋" w:eastAsia="仿宋" w:hAnsi="仿宋" w:hint="eastAsia"/>
          <w:sz w:val="32"/>
          <w:szCs w:val="32"/>
        </w:rPr>
        <w:t>的重要领域。早在2003年1月，中国资产评估协会发布了《珠宝首饰评估指导意见》，珠宝评估有了</w:t>
      </w:r>
      <w:r w:rsidR="00A91E6B">
        <w:rPr>
          <w:rFonts w:ascii="仿宋" w:eastAsia="仿宋" w:hAnsi="仿宋" w:hint="eastAsia"/>
          <w:sz w:val="32"/>
          <w:szCs w:val="32"/>
        </w:rPr>
        <w:t>专门</w:t>
      </w:r>
      <w:r w:rsidRPr="00195D6C">
        <w:rPr>
          <w:rFonts w:ascii="仿宋" w:eastAsia="仿宋" w:hAnsi="仿宋" w:hint="eastAsia"/>
          <w:sz w:val="32"/>
          <w:szCs w:val="32"/>
        </w:rPr>
        <w:t>执业标准。</w:t>
      </w:r>
      <w:r w:rsidR="00A91E6B" w:rsidRPr="00195D6C">
        <w:rPr>
          <w:rFonts w:ascii="仿宋" w:eastAsia="仿宋" w:hAnsi="仿宋" w:hint="eastAsia"/>
          <w:sz w:val="32"/>
          <w:szCs w:val="32"/>
        </w:rPr>
        <w:t>2009年12月</w:t>
      </w:r>
      <w:r w:rsidR="00A91E6B">
        <w:rPr>
          <w:rFonts w:ascii="仿宋" w:eastAsia="仿宋" w:hAnsi="仿宋" w:hint="eastAsia"/>
          <w:sz w:val="32"/>
          <w:szCs w:val="32"/>
        </w:rPr>
        <w:t>，</w:t>
      </w:r>
      <w:r w:rsidRPr="00195D6C">
        <w:rPr>
          <w:rFonts w:ascii="仿宋" w:eastAsia="仿宋" w:hAnsi="仿宋" w:hint="eastAsia"/>
          <w:sz w:val="32"/>
          <w:szCs w:val="32"/>
        </w:rPr>
        <w:t>在总结近5年来珠宝评估理论和实践的基础上，</w:t>
      </w:r>
      <w:r w:rsidR="00756F59" w:rsidRPr="00195D6C">
        <w:rPr>
          <w:rFonts w:ascii="仿宋" w:eastAsia="仿宋" w:hAnsi="仿宋" w:hint="eastAsia"/>
          <w:sz w:val="32"/>
          <w:szCs w:val="32"/>
        </w:rPr>
        <w:t>中国资产评估协会</w:t>
      </w:r>
      <w:r w:rsidRPr="00195D6C">
        <w:rPr>
          <w:rFonts w:ascii="仿宋" w:eastAsia="仿宋" w:hAnsi="仿宋" w:hint="eastAsia"/>
          <w:sz w:val="32"/>
          <w:szCs w:val="32"/>
        </w:rPr>
        <w:t>对《珠宝首饰评估指导意见》进行了修订，发布了《资产评估准则——珠宝首饰》。</w:t>
      </w:r>
    </w:p>
    <w:p w:rsidR="001113DC" w:rsidRPr="00195D6C" w:rsidRDefault="00D52B3F" w:rsidP="00195D6C">
      <w:pPr>
        <w:numPr>
          <w:ilvl w:val="0"/>
          <w:numId w:val="1"/>
        </w:numPr>
        <w:spacing w:beforeLines="50" w:before="156" w:afterLines="50" w:after="156" w:line="360" w:lineRule="auto"/>
        <w:ind w:firstLineChars="200" w:firstLine="643"/>
        <w:rPr>
          <w:rFonts w:ascii="仿宋" w:eastAsia="仿宋" w:hAnsi="仿宋"/>
          <w:b/>
          <w:sz w:val="32"/>
          <w:szCs w:val="32"/>
        </w:rPr>
      </w:pPr>
      <w:r w:rsidRPr="00195D6C">
        <w:rPr>
          <w:rFonts w:ascii="仿宋" w:eastAsia="仿宋" w:hAnsi="仿宋" w:hint="eastAsia"/>
          <w:b/>
          <w:sz w:val="32"/>
          <w:szCs w:val="32"/>
        </w:rPr>
        <w:t>起草指导思想</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结合珠宝评估实践经验，综合国内外珠宝评估实际情况，在起草过程中确定了以下指导思想。</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（一）明确定位</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在评估准则体系中的层次定位于指导意见，对珠宝首饰评估程序提出具体指导性要求，突出技术性、实操性和对重要事项的规范。</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（二）借鉴已有研究成果</w:t>
      </w:r>
    </w:p>
    <w:p w:rsidR="001113DC" w:rsidRPr="00195D6C" w:rsidRDefault="00A91E6B">
      <w:pPr>
        <w:spacing w:line="360" w:lineRule="auto"/>
        <w:ind w:firstLineChars="200" w:firstLine="640"/>
        <w:rPr>
          <w:rFonts w:ascii="仿宋" w:eastAsia="仿宋" w:hAnsi="仿宋"/>
          <w:sz w:val="32"/>
          <w:szCs w:val="32"/>
        </w:rPr>
      </w:pPr>
      <w:r>
        <w:rPr>
          <w:rFonts w:ascii="仿宋" w:eastAsia="仿宋" w:hAnsi="仿宋" w:hint="eastAsia"/>
          <w:sz w:val="32"/>
          <w:szCs w:val="32"/>
        </w:rPr>
        <w:t>本指导意见</w:t>
      </w:r>
      <w:r w:rsidR="00D52B3F" w:rsidRPr="00195D6C">
        <w:rPr>
          <w:rFonts w:ascii="仿宋" w:eastAsia="仿宋" w:hAnsi="仿宋" w:hint="eastAsia"/>
          <w:sz w:val="32"/>
          <w:szCs w:val="32"/>
        </w:rPr>
        <w:t>根据《资产评估法》、资产评估准则体系（特别是《资产评估执业准则——珠宝首饰》），现有珠宝名称、珠宝鉴定、珠宝品质分级等国家标准和要求，</w:t>
      </w:r>
      <w:r>
        <w:rPr>
          <w:rFonts w:ascii="仿宋" w:eastAsia="仿宋" w:hAnsi="仿宋" w:hint="eastAsia"/>
          <w:sz w:val="32"/>
          <w:szCs w:val="32"/>
        </w:rPr>
        <w:t>以及</w:t>
      </w:r>
      <w:r w:rsidR="00D52B3F" w:rsidRPr="00195D6C">
        <w:rPr>
          <w:rFonts w:ascii="仿宋" w:eastAsia="仿宋" w:hAnsi="仿宋" w:hint="eastAsia"/>
          <w:sz w:val="32"/>
          <w:szCs w:val="32"/>
        </w:rPr>
        <w:t>国内外相关文献资料，结合珠宝评估实践</w:t>
      </w:r>
      <w:r w:rsidR="00143107">
        <w:rPr>
          <w:rFonts w:ascii="仿宋" w:eastAsia="仿宋" w:hAnsi="仿宋" w:hint="eastAsia"/>
          <w:sz w:val="32"/>
          <w:szCs w:val="32"/>
        </w:rPr>
        <w:t>建立了</w:t>
      </w:r>
      <w:r>
        <w:rPr>
          <w:rFonts w:ascii="仿宋" w:eastAsia="仿宋" w:hAnsi="仿宋" w:hint="eastAsia"/>
          <w:sz w:val="32"/>
          <w:szCs w:val="32"/>
        </w:rPr>
        <w:t>准则</w:t>
      </w:r>
      <w:r w:rsidR="00143107">
        <w:rPr>
          <w:rFonts w:ascii="仿宋" w:eastAsia="仿宋" w:hAnsi="仿宋" w:hint="eastAsia"/>
          <w:sz w:val="32"/>
          <w:szCs w:val="32"/>
        </w:rPr>
        <w:t>框</w:t>
      </w:r>
      <w:r w:rsidR="00D52B3F" w:rsidRPr="00195D6C">
        <w:rPr>
          <w:rFonts w:ascii="仿宋" w:eastAsia="仿宋" w:hAnsi="仿宋" w:hint="eastAsia"/>
          <w:sz w:val="32"/>
          <w:szCs w:val="32"/>
        </w:rPr>
        <w:t>架。</w:t>
      </w:r>
    </w:p>
    <w:p w:rsidR="00C065D2"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（三）</w:t>
      </w:r>
      <w:r w:rsidR="00143107">
        <w:rPr>
          <w:rFonts w:ascii="仿宋" w:eastAsia="仿宋" w:hAnsi="仿宋" w:hint="eastAsia"/>
          <w:sz w:val="32"/>
          <w:szCs w:val="32"/>
        </w:rPr>
        <w:t>总结已有</w:t>
      </w:r>
      <w:r w:rsidRPr="00195D6C">
        <w:rPr>
          <w:rFonts w:ascii="仿宋" w:eastAsia="仿宋" w:hAnsi="仿宋" w:hint="eastAsia"/>
          <w:sz w:val="32"/>
          <w:szCs w:val="32"/>
        </w:rPr>
        <w:t>实践</w:t>
      </w:r>
      <w:r w:rsidR="00143107">
        <w:rPr>
          <w:rFonts w:ascii="仿宋" w:eastAsia="仿宋" w:hAnsi="仿宋" w:hint="eastAsia"/>
          <w:sz w:val="32"/>
          <w:szCs w:val="32"/>
        </w:rPr>
        <w:t>经验</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本指导意见基于多年珠宝评估实践活动，广纳博取，从专业技术的角度，有针对性地对珠宝评估进行系统、全面的行为梳理，</w:t>
      </w:r>
      <w:r w:rsidR="00143107">
        <w:rPr>
          <w:rFonts w:ascii="仿宋" w:eastAsia="仿宋" w:hAnsi="仿宋" w:hint="eastAsia"/>
          <w:sz w:val="32"/>
          <w:szCs w:val="32"/>
        </w:rPr>
        <w:t>增强操作性，</w:t>
      </w:r>
      <w:r w:rsidRPr="00195D6C">
        <w:rPr>
          <w:rFonts w:ascii="仿宋" w:eastAsia="仿宋" w:hAnsi="仿宋" w:hint="eastAsia"/>
          <w:sz w:val="32"/>
          <w:szCs w:val="32"/>
        </w:rPr>
        <w:t xml:space="preserve">形成程式化规范。 </w:t>
      </w:r>
    </w:p>
    <w:p w:rsidR="001113DC" w:rsidRPr="00195D6C" w:rsidRDefault="00D52B3F">
      <w:pPr>
        <w:spacing w:beforeLines="50" w:before="156" w:afterLines="50" w:after="156" w:line="360" w:lineRule="auto"/>
        <w:ind w:left="643"/>
        <w:rPr>
          <w:rFonts w:ascii="仿宋" w:eastAsia="仿宋" w:hAnsi="仿宋"/>
          <w:b/>
          <w:sz w:val="32"/>
          <w:szCs w:val="32"/>
        </w:rPr>
      </w:pPr>
      <w:r w:rsidRPr="00195D6C">
        <w:rPr>
          <w:rFonts w:ascii="仿宋" w:eastAsia="仿宋" w:hAnsi="仿宋" w:hint="eastAsia"/>
          <w:b/>
          <w:sz w:val="32"/>
          <w:szCs w:val="32"/>
        </w:rPr>
        <w:lastRenderedPageBreak/>
        <w:t>四、起草过程</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2016年11月，成立工作组，根据资产评估准则体系，结合珠宝评估实践，从专业技术的角度，规范珠宝评估程序，起草工作组讨论稿。</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2017年3月向全国珠宝玉石标准化技术委员会（TC298）委员征求意见。2017年5月，在上海珠宝展会期间就反馈意见及修改稿征询专家委员意见后，再次调整、修改和补充。2017年7月向全国珠宝玉石标准化技术委员会（TC298）委员第二次征求意见。</w:t>
      </w:r>
    </w:p>
    <w:p w:rsidR="00E92BC2" w:rsidRPr="00195D6C" w:rsidDel="00E92BC2" w:rsidRDefault="00D52B3F" w:rsidP="003A3F21">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2018年8月-9月，对云南、福建、广东、江苏、新疆、青海、香港等地市场进行了市场调研和专家走访，就珠宝玉石的评估及程序的规范交换意见。</w:t>
      </w:r>
    </w:p>
    <w:p w:rsidR="00E92BC2" w:rsidRPr="00195D6C" w:rsidDel="00E92BC2" w:rsidRDefault="00D52B3F" w:rsidP="003A3F21">
      <w:pPr>
        <w:spacing w:line="360" w:lineRule="auto"/>
        <w:ind w:firstLineChars="200" w:firstLine="640"/>
        <w:rPr>
          <w:rFonts w:ascii="仿宋" w:eastAsia="仿宋" w:hAnsi="仿宋"/>
          <w:sz w:val="32"/>
          <w:szCs w:val="32"/>
        </w:rPr>
      </w:pPr>
      <w:r w:rsidRPr="00195D6C">
        <w:rPr>
          <w:rFonts w:ascii="仿宋" w:eastAsia="仿宋" w:hAnsi="仿宋"/>
          <w:sz w:val="32"/>
          <w:szCs w:val="32"/>
        </w:rPr>
        <w:t>2018</w:t>
      </w:r>
      <w:r w:rsidRPr="00195D6C">
        <w:rPr>
          <w:rFonts w:ascii="仿宋" w:eastAsia="仿宋" w:hAnsi="仿宋" w:hint="eastAsia"/>
          <w:sz w:val="32"/>
          <w:szCs w:val="32"/>
        </w:rPr>
        <w:t>年</w:t>
      </w:r>
      <w:r w:rsidRPr="00195D6C">
        <w:rPr>
          <w:rFonts w:ascii="仿宋" w:eastAsia="仿宋" w:hAnsi="仿宋"/>
          <w:sz w:val="32"/>
          <w:szCs w:val="32"/>
        </w:rPr>
        <w:t>12</w:t>
      </w:r>
      <w:r w:rsidRPr="00195D6C">
        <w:rPr>
          <w:rFonts w:ascii="仿宋" w:eastAsia="仿宋" w:hAnsi="仿宋" w:hint="eastAsia"/>
          <w:sz w:val="32"/>
          <w:szCs w:val="32"/>
        </w:rPr>
        <w:t>月</w:t>
      </w:r>
      <w:r w:rsidRPr="00195D6C">
        <w:rPr>
          <w:rFonts w:ascii="仿宋" w:eastAsia="仿宋" w:hAnsi="仿宋"/>
          <w:sz w:val="32"/>
          <w:szCs w:val="32"/>
        </w:rPr>
        <w:t>15</w:t>
      </w:r>
      <w:r w:rsidRPr="00195D6C">
        <w:rPr>
          <w:rFonts w:ascii="仿宋" w:eastAsia="仿宋" w:hAnsi="仿宋" w:hint="eastAsia"/>
          <w:sz w:val="32"/>
          <w:szCs w:val="32"/>
        </w:rPr>
        <w:t>日，来自自然资源部珠宝玉石首饰管理中心（国家珠宝玉石质量监督检验中心）、中国珠宝玉石首饰行业协会、中评协珠宝首饰艺术品评估专业委员会及国内各珠宝质检机构、评估机构、珠宝首饰企业、院校等相关各单位的专家审阅了《珠宝首饰评估程序指导意见》（讨论稿）</w:t>
      </w:r>
      <w:r w:rsidR="00E92BC2">
        <w:rPr>
          <w:rFonts w:ascii="仿宋" w:eastAsia="仿宋" w:hAnsi="仿宋" w:hint="eastAsia"/>
          <w:sz w:val="32"/>
          <w:szCs w:val="32"/>
        </w:rPr>
        <w:t>，提出了修改意见。</w:t>
      </w:r>
    </w:p>
    <w:p w:rsidR="001113DC" w:rsidRPr="00195D6C" w:rsidRDefault="00D52B3F" w:rsidP="003A3F21">
      <w:pPr>
        <w:spacing w:line="360" w:lineRule="auto"/>
        <w:ind w:firstLineChars="200" w:firstLine="640"/>
        <w:rPr>
          <w:rFonts w:ascii="仿宋" w:eastAsia="仿宋" w:hAnsi="仿宋"/>
          <w:sz w:val="32"/>
          <w:szCs w:val="32"/>
        </w:rPr>
      </w:pPr>
      <w:r w:rsidRPr="00195D6C">
        <w:rPr>
          <w:rFonts w:ascii="仿宋" w:eastAsia="仿宋" w:hAnsi="仿宋"/>
          <w:sz w:val="32"/>
          <w:szCs w:val="32"/>
        </w:rPr>
        <w:t>201</w:t>
      </w:r>
      <w:r w:rsidRPr="00195D6C">
        <w:rPr>
          <w:rFonts w:ascii="仿宋" w:eastAsia="仿宋" w:hAnsi="仿宋" w:hint="eastAsia"/>
          <w:sz w:val="32"/>
          <w:szCs w:val="32"/>
        </w:rPr>
        <w:t>9年4月4日，中国资产评估协会就《珠宝首饰评估程序指导意见》在北京召开专家讨论会，从整体结构框架、规范用词、细化操作性等方面提出了修改建议。项目组根据专家意见，反复推敲并结合实践工作的情况进行修改，形成</w:t>
      </w:r>
      <w:r w:rsidRPr="00195D6C">
        <w:rPr>
          <w:rFonts w:ascii="仿宋" w:eastAsia="仿宋" w:hAnsi="仿宋" w:hint="eastAsia"/>
          <w:sz w:val="32"/>
          <w:szCs w:val="32"/>
        </w:rPr>
        <w:lastRenderedPageBreak/>
        <w:t>《珠宝首饰评估程序指导意见</w:t>
      </w:r>
      <w:r w:rsidR="00A91E6B" w:rsidRPr="00195D6C">
        <w:rPr>
          <w:rFonts w:ascii="仿宋" w:eastAsia="仿宋" w:hAnsi="仿宋" w:hint="eastAsia"/>
          <w:sz w:val="32"/>
          <w:szCs w:val="32"/>
        </w:rPr>
        <w:t>（征求意见稿）</w:t>
      </w:r>
      <w:r w:rsidRPr="00195D6C">
        <w:rPr>
          <w:rFonts w:ascii="仿宋" w:eastAsia="仿宋" w:hAnsi="仿宋" w:hint="eastAsia"/>
          <w:sz w:val="32"/>
          <w:szCs w:val="32"/>
        </w:rPr>
        <w:t>》。</w:t>
      </w:r>
    </w:p>
    <w:p w:rsidR="001113DC" w:rsidRPr="00195D6C" w:rsidRDefault="00D52B3F">
      <w:pPr>
        <w:spacing w:beforeLines="50" w:before="156" w:afterLines="50" w:after="156" w:line="360" w:lineRule="auto"/>
        <w:ind w:left="641"/>
        <w:rPr>
          <w:rFonts w:ascii="仿宋" w:eastAsia="仿宋" w:hAnsi="仿宋"/>
          <w:b/>
          <w:sz w:val="32"/>
          <w:szCs w:val="32"/>
        </w:rPr>
      </w:pPr>
      <w:r w:rsidRPr="00195D6C">
        <w:rPr>
          <w:rFonts w:ascii="仿宋" w:eastAsia="仿宋" w:hAnsi="仿宋" w:hint="eastAsia"/>
          <w:b/>
          <w:sz w:val="32"/>
          <w:szCs w:val="32"/>
        </w:rPr>
        <w:t>五、主要内容</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本《指导意见》包括“总则”、“基本遵循”、“评估对象”、</w:t>
      </w:r>
      <w:r w:rsidR="00A91E6B" w:rsidRPr="00195D6C">
        <w:rPr>
          <w:rFonts w:ascii="仿宋" w:eastAsia="仿宋" w:hAnsi="仿宋" w:hint="eastAsia"/>
          <w:sz w:val="32"/>
          <w:szCs w:val="32"/>
        </w:rPr>
        <w:t>“</w:t>
      </w:r>
      <w:r w:rsidR="00A91E6B">
        <w:rPr>
          <w:rFonts w:ascii="仿宋" w:eastAsia="仿宋" w:hAnsi="仿宋" w:hint="eastAsia"/>
          <w:sz w:val="32"/>
          <w:szCs w:val="32"/>
        </w:rPr>
        <w:t>执行</w:t>
      </w:r>
      <w:r w:rsidR="00A91E6B" w:rsidRPr="00195D6C">
        <w:rPr>
          <w:rFonts w:ascii="仿宋" w:eastAsia="仿宋" w:hAnsi="仿宋" w:hint="eastAsia"/>
          <w:sz w:val="32"/>
          <w:szCs w:val="32"/>
        </w:rPr>
        <w:t>要求”</w:t>
      </w:r>
      <w:r w:rsidRPr="00195D6C">
        <w:rPr>
          <w:rFonts w:ascii="仿宋" w:eastAsia="仿宋" w:hAnsi="仿宋" w:hint="eastAsia"/>
          <w:sz w:val="32"/>
          <w:szCs w:val="32"/>
        </w:rPr>
        <w:t>、“附则”五章。</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“总则”明确了制定宗旨、制定依据、定义、使用范围及相关服务领域。</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“基本遵循”规定了出具珠宝评估报告的主体、评估机构及珠宝评估专业人员应当遵守职业道德准则，具备珠宝首饰的鉴定分级等的专业知识和能力、价值类型、评估假设和限制条件等内容。</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“评估对象”明确了评估对象可能是单体珠宝首饰或批量珠宝首饰，定义了批量珠宝首饰，及应当关注评估对象特点对评估业务的影响等内容。</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“执行要求”规定了执行珠宝首饰评估业务在履行评估工作程序过程中的具体技术性操作规范等内容。</w:t>
      </w:r>
    </w:p>
    <w:p w:rsidR="001113DC" w:rsidRPr="00195D6C" w:rsidRDefault="00D52B3F">
      <w:pPr>
        <w:spacing w:beforeLines="50" w:before="156" w:afterLines="50" w:after="156" w:line="360" w:lineRule="auto"/>
        <w:ind w:left="641"/>
        <w:rPr>
          <w:rFonts w:ascii="仿宋" w:eastAsia="仿宋" w:hAnsi="仿宋"/>
          <w:b/>
          <w:sz w:val="32"/>
          <w:szCs w:val="32"/>
        </w:rPr>
      </w:pPr>
      <w:r w:rsidRPr="00195D6C">
        <w:rPr>
          <w:rFonts w:ascii="仿宋" w:eastAsia="仿宋" w:hAnsi="仿宋" w:hint="eastAsia"/>
          <w:b/>
          <w:sz w:val="32"/>
          <w:szCs w:val="32"/>
        </w:rPr>
        <w:t>六、重要内容介绍</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本指导意见针对珠宝首饰评估的特点，重点在于珠宝首饰评估技术性工作程序的规范。为便于理解相关内容，现将一些重要事项予以说明。</w:t>
      </w:r>
    </w:p>
    <w:p w:rsidR="001113DC" w:rsidRPr="00195D6C" w:rsidRDefault="00D52B3F">
      <w:pPr>
        <w:numPr>
          <w:ilvl w:val="0"/>
          <w:numId w:val="3"/>
        </w:num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评估对象是珠宝首饰实物资产，强调现场工作的重要性</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lastRenderedPageBreak/>
        <w:t>珠宝首饰评估业务中，评估对象应为合法拥有、合法流通、合法处置、依法裁定的珠宝首饰实物资产。珠宝评估专业人员应当关注评估对象的法律权属。</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强调现场工作的重要性，并非仅是核查数量，现场工作中应明确评估对象实物数量及状态、对评估对象进行鉴定及鉴定复核、品质分析、价值分析并描述。针对评估对象的多样性，结合实践经验，在附表中对不同种类珠宝首饰列举了描述的重点内容，增强了本《指导意见》的可操作性。</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（二）关于对珠宝评估专业人员的要求</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由于珠宝评估的专业性，要求开展珠宝首饰评估业务的资产评估机构及其珠宝评估专业人员，应当具备珠宝首饰评估专业知识和实践经验，能够胜任所执行的珠宝首饰鉴定评估业务。</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sz w:val="32"/>
          <w:szCs w:val="32"/>
        </w:rPr>
        <w:t>珠宝首饰评估对象多样性的特点要求珠宝评估专业人员应当掌握不同种类珠宝的主要鉴定特征和</w:t>
      </w:r>
      <w:r w:rsidRPr="00195D6C">
        <w:rPr>
          <w:rFonts w:ascii="仿宋" w:eastAsia="仿宋" w:hAnsi="仿宋" w:hint="eastAsia"/>
          <w:sz w:val="32"/>
          <w:szCs w:val="32"/>
        </w:rPr>
        <w:t>鉴定方法；掌握不同种类珠宝玉石的品质评价要素和评价方法；掌握</w:t>
      </w:r>
      <w:r w:rsidRPr="00195D6C">
        <w:rPr>
          <w:rFonts w:ascii="仿宋" w:eastAsia="仿宋" w:hAnsi="仿宋"/>
          <w:sz w:val="32"/>
          <w:szCs w:val="32"/>
        </w:rPr>
        <w:t>珠宝首饰鉴定</w:t>
      </w:r>
      <w:r w:rsidRPr="00195D6C">
        <w:rPr>
          <w:rFonts w:ascii="仿宋" w:eastAsia="仿宋" w:hAnsi="仿宋" w:hint="eastAsia"/>
          <w:sz w:val="32"/>
          <w:szCs w:val="32"/>
        </w:rPr>
        <w:t>、分类和</w:t>
      </w:r>
      <w:r w:rsidRPr="00195D6C">
        <w:rPr>
          <w:rFonts w:ascii="仿宋" w:eastAsia="仿宋" w:hAnsi="仿宋"/>
          <w:sz w:val="32"/>
          <w:szCs w:val="32"/>
        </w:rPr>
        <w:t>分级的国家标准</w:t>
      </w:r>
      <w:r w:rsidRPr="00195D6C">
        <w:rPr>
          <w:rFonts w:ascii="仿宋" w:eastAsia="仿宋" w:hAnsi="仿宋" w:hint="eastAsia"/>
          <w:sz w:val="32"/>
          <w:szCs w:val="32"/>
        </w:rPr>
        <w:t>和法规</w:t>
      </w:r>
      <w:r w:rsidRPr="00195D6C">
        <w:rPr>
          <w:rFonts w:ascii="仿宋" w:eastAsia="仿宋" w:hAnsi="仿宋"/>
          <w:sz w:val="32"/>
          <w:szCs w:val="32"/>
        </w:rPr>
        <w:t>，熟悉相关的国际标准、行业标准以及地方标准、团体标准</w:t>
      </w:r>
      <w:r w:rsidRPr="00195D6C">
        <w:rPr>
          <w:rFonts w:ascii="仿宋" w:eastAsia="仿宋" w:hAnsi="仿宋" w:hint="eastAsia"/>
          <w:sz w:val="32"/>
          <w:szCs w:val="32"/>
        </w:rPr>
        <w:t>等</w:t>
      </w:r>
      <w:r w:rsidRPr="00195D6C">
        <w:rPr>
          <w:rFonts w:ascii="仿宋" w:eastAsia="仿宋" w:hAnsi="仿宋"/>
          <w:sz w:val="32"/>
          <w:szCs w:val="32"/>
        </w:rPr>
        <w:t>。</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（三）关于批量珠宝首饰评估</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sz w:val="32"/>
          <w:szCs w:val="32"/>
        </w:rPr>
        <w:t>本指导意见首次提出批量珠宝首饰，并对批量珠宝首饰评估程序进行了规范。批量珠宝首饰是指各种类别、各种数量的珠宝首饰组合。批量珠宝首饰评估可以采用系统的、统</w:t>
      </w:r>
      <w:r w:rsidRPr="00195D6C">
        <w:rPr>
          <w:rFonts w:ascii="仿宋" w:eastAsia="仿宋" w:hAnsi="仿宋"/>
          <w:sz w:val="32"/>
          <w:szCs w:val="32"/>
        </w:rPr>
        <w:lastRenderedPageBreak/>
        <w:t>一的参数。</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本指导意见基于珠宝评估实践活动，对批量珠宝首饰评估从核查、鉴定分类及描述记录、价值分析几个方面进行了操作层面的细化规范。对大批量珠宝首饰评估提供了高效的评估程序指导。</w:t>
      </w:r>
    </w:p>
    <w:p w:rsidR="001113DC" w:rsidRPr="00195D6C" w:rsidRDefault="00D52B3F">
      <w:pPr>
        <w:spacing w:beforeLines="50" w:before="156" w:afterLines="50" w:after="156" w:line="360" w:lineRule="auto"/>
        <w:ind w:left="641"/>
        <w:rPr>
          <w:rFonts w:ascii="仿宋" w:eastAsia="仿宋" w:hAnsi="仿宋"/>
          <w:b/>
          <w:sz w:val="32"/>
          <w:szCs w:val="32"/>
        </w:rPr>
      </w:pPr>
      <w:r w:rsidRPr="00195D6C">
        <w:rPr>
          <w:rFonts w:ascii="仿宋" w:eastAsia="仿宋" w:hAnsi="仿宋" w:hint="eastAsia"/>
          <w:b/>
          <w:sz w:val="32"/>
          <w:szCs w:val="32"/>
        </w:rPr>
        <w:t>七、需要说明的问题</w:t>
      </w:r>
    </w:p>
    <w:p w:rsidR="001113DC" w:rsidRPr="00195D6C" w:rsidRDefault="00D52B3F">
      <w:pPr>
        <w:spacing w:line="360" w:lineRule="auto"/>
        <w:ind w:firstLineChars="200" w:firstLine="640"/>
        <w:rPr>
          <w:rFonts w:ascii="仿宋" w:eastAsia="仿宋" w:hAnsi="仿宋"/>
          <w:sz w:val="32"/>
          <w:szCs w:val="32"/>
        </w:rPr>
      </w:pPr>
      <w:r w:rsidRPr="00195D6C">
        <w:rPr>
          <w:rFonts w:ascii="仿宋" w:eastAsia="仿宋" w:hAnsi="仿宋" w:hint="eastAsia"/>
          <w:sz w:val="32"/>
          <w:szCs w:val="32"/>
        </w:rPr>
        <w:t>如何从专业工作程序入手，提高珠宝评估质量，是本</w:t>
      </w:r>
      <w:r w:rsidR="00A91E6B">
        <w:rPr>
          <w:rFonts w:ascii="仿宋" w:eastAsia="仿宋" w:hAnsi="仿宋" w:hint="eastAsia"/>
          <w:sz w:val="32"/>
          <w:szCs w:val="32"/>
        </w:rPr>
        <w:t>指导意见</w:t>
      </w:r>
      <w:r w:rsidRPr="00195D6C">
        <w:rPr>
          <w:rFonts w:ascii="仿宋" w:eastAsia="仿宋" w:hAnsi="仿宋" w:hint="eastAsia"/>
          <w:sz w:val="32"/>
          <w:szCs w:val="32"/>
        </w:rPr>
        <w:t>的重点。</w:t>
      </w:r>
      <w:r w:rsidR="00A91E6B">
        <w:rPr>
          <w:rFonts w:ascii="仿宋" w:eastAsia="仿宋" w:hAnsi="仿宋" w:hint="eastAsia"/>
          <w:sz w:val="32"/>
          <w:szCs w:val="32"/>
        </w:rPr>
        <w:t>本</w:t>
      </w:r>
      <w:r w:rsidR="00A91E6B" w:rsidRPr="00195D6C">
        <w:rPr>
          <w:rFonts w:ascii="仿宋" w:eastAsia="仿宋" w:hAnsi="仿宋" w:hint="eastAsia"/>
          <w:sz w:val="32"/>
          <w:szCs w:val="32"/>
        </w:rPr>
        <w:t>指导意见</w:t>
      </w:r>
      <w:r w:rsidRPr="00195D6C">
        <w:rPr>
          <w:rFonts w:ascii="仿宋" w:eastAsia="仿宋" w:hAnsi="仿宋" w:hint="eastAsia"/>
          <w:sz w:val="32"/>
          <w:szCs w:val="32"/>
        </w:rPr>
        <w:t>凝结了</w:t>
      </w:r>
      <w:r w:rsidR="00AB252E">
        <w:rPr>
          <w:rFonts w:ascii="仿宋" w:eastAsia="仿宋" w:hAnsi="仿宋" w:hint="eastAsia"/>
          <w:sz w:val="32"/>
          <w:szCs w:val="32"/>
        </w:rPr>
        <w:t>起草专家的</w:t>
      </w:r>
      <w:r w:rsidRPr="00195D6C">
        <w:rPr>
          <w:rFonts w:ascii="仿宋" w:eastAsia="仿宋" w:hAnsi="仿宋" w:hint="eastAsia"/>
          <w:sz w:val="32"/>
          <w:szCs w:val="32"/>
        </w:rPr>
        <w:t>专业知识和多年的</w:t>
      </w:r>
      <w:r w:rsidR="00143107">
        <w:rPr>
          <w:rFonts w:ascii="仿宋" w:eastAsia="仿宋" w:hAnsi="仿宋" w:hint="eastAsia"/>
          <w:sz w:val="32"/>
          <w:szCs w:val="32"/>
        </w:rPr>
        <w:t>实践</w:t>
      </w:r>
      <w:r w:rsidRPr="00195D6C">
        <w:rPr>
          <w:rFonts w:ascii="仿宋" w:eastAsia="仿宋" w:hAnsi="仿宋" w:hint="eastAsia"/>
          <w:sz w:val="32"/>
          <w:szCs w:val="32"/>
        </w:rPr>
        <w:t>经验，充分考虑了珠宝评估的特殊性和专业性，对珠宝首饰评估程序进行了规范。</w:t>
      </w:r>
    </w:p>
    <w:p w:rsidR="001113DC" w:rsidRPr="00195D6C" w:rsidRDefault="00D52B3F">
      <w:pPr>
        <w:spacing w:line="360" w:lineRule="auto"/>
        <w:ind w:firstLineChars="200" w:firstLine="640"/>
        <w:rPr>
          <w:rFonts w:ascii="仿宋" w:eastAsia="仿宋" w:hAnsi="仿宋"/>
          <w:b/>
          <w:sz w:val="32"/>
          <w:szCs w:val="32"/>
        </w:rPr>
      </w:pPr>
      <w:r w:rsidRPr="00195D6C">
        <w:rPr>
          <w:rFonts w:ascii="仿宋" w:eastAsia="仿宋" w:hAnsi="仿宋" w:hint="eastAsia"/>
          <w:sz w:val="32"/>
          <w:szCs w:val="32"/>
        </w:rPr>
        <w:t>但因玉石评估具有相当的复杂性，对评估人员的综合能力要求极高，仅有完备的程序，并不能简单推出结论的合理，容易以形式上的貌似合理掩盖其谬误。由此可见，还需要多方努力，共同探讨更多的行之有效的行业监管和规范化管理办法，共同推进珠宝评估事业的良性化发展。</w:t>
      </w:r>
    </w:p>
    <w:sectPr w:rsidR="001113DC" w:rsidRPr="00195D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39A" w:rsidRDefault="00D2039A" w:rsidP="003548E4">
      <w:r>
        <w:separator/>
      </w:r>
    </w:p>
  </w:endnote>
  <w:endnote w:type="continuationSeparator" w:id="0">
    <w:p w:rsidR="00D2039A" w:rsidRDefault="00D2039A" w:rsidP="0035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39A" w:rsidRDefault="00D2039A" w:rsidP="003548E4">
      <w:r>
        <w:separator/>
      </w:r>
    </w:p>
  </w:footnote>
  <w:footnote w:type="continuationSeparator" w:id="0">
    <w:p w:rsidR="00D2039A" w:rsidRDefault="00D2039A" w:rsidP="0035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D0FBB"/>
    <w:multiLevelType w:val="singleLevel"/>
    <w:tmpl w:val="928D0FBB"/>
    <w:lvl w:ilvl="0">
      <w:start w:val="1"/>
      <w:numFmt w:val="chineseCounting"/>
      <w:suff w:val="nothing"/>
      <w:lvlText w:val="%1、"/>
      <w:lvlJc w:val="left"/>
      <w:rPr>
        <w:rFonts w:hint="eastAsia"/>
      </w:rPr>
    </w:lvl>
  </w:abstractNum>
  <w:abstractNum w:abstractNumId="1" w15:restartNumberingAfterBreak="0">
    <w:nsid w:val="CDC3CC4A"/>
    <w:multiLevelType w:val="singleLevel"/>
    <w:tmpl w:val="CDC3CC4A"/>
    <w:lvl w:ilvl="0">
      <w:start w:val="1"/>
      <w:numFmt w:val="chineseCounting"/>
      <w:suff w:val="nothing"/>
      <w:lvlText w:val="（%1）"/>
      <w:lvlJc w:val="left"/>
      <w:rPr>
        <w:rFonts w:hint="eastAsia"/>
      </w:rPr>
    </w:lvl>
  </w:abstractNum>
  <w:abstractNum w:abstractNumId="2" w15:restartNumberingAfterBreak="0">
    <w:nsid w:val="E99C0898"/>
    <w:multiLevelType w:val="singleLevel"/>
    <w:tmpl w:val="E99C0898"/>
    <w:lvl w:ilvl="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3A"/>
    <w:rsid w:val="0001168F"/>
    <w:rsid w:val="00020FDD"/>
    <w:rsid w:val="00022B52"/>
    <w:rsid w:val="00023F39"/>
    <w:rsid w:val="00041EB9"/>
    <w:rsid w:val="00043D87"/>
    <w:rsid w:val="00062B63"/>
    <w:rsid w:val="00062EFC"/>
    <w:rsid w:val="00066909"/>
    <w:rsid w:val="00072817"/>
    <w:rsid w:val="000A5538"/>
    <w:rsid w:val="000B0643"/>
    <w:rsid w:val="000B5DE9"/>
    <w:rsid w:val="000C4F51"/>
    <w:rsid w:val="000D4040"/>
    <w:rsid w:val="000D48BB"/>
    <w:rsid w:val="000E392E"/>
    <w:rsid w:val="000E78DE"/>
    <w:rsid w:val="00103441"/>
    <w:rsid w:val="001113DC"/>
    <w:rsid w:val="00123816"/>
    <w:rsid w:val="00123B92"/>
    <w:rsid w:val="00143107"/>
    <w:rsid w:val="0014439E"/>
    <w:rsid w:val="00144729"/>
    <w:rsid w:val="00144752"/>
    <w:rsid w:val="00145033"/>
    <w:rsid w:val="001758BB"/>
    <w:rsid w:val="00182F07"/>
    <w:rsid w:val="001857F1"/>
    <w:rsid w:val="00195D6C"/>
    <w:rsid w:val="001A0761"/>
    <w:rsid w:val="001A409D"/>
    <w:rsid w:val="001A6CC1"/>
    <w:rsid w:val="001F41CF"/>
    <w:rsid w:val="00204158"/>
    <w:rsid w:val="002110ED"/>
    <w:rsid w:val="00222D9A"/>
    <w:rsid w:val="0023006F"/>
    <w:rsid w:val="00235409"/>
    <w:rsid w:val="00245F3C"/>
    <w:rsid w:val="00252E27"/>
    <w:rsid w:val="002543BD"/>
    <w:rsid w:val="0025605C"/>
    <w:rsid w:val="00275FE7"/>
    <w:rsid w:val="00280F75"/>
    <w:rsid w:val="002844A2"/>
    <w:rsid w:val="002C43B8"/>
    <w:rsid w:val="003419FD"/>
    <w:rsid w:val="003548E4"/>
    <w:rsid w:val="00355705"/>
    <w:rsid w:val="00362C32"/>
    <w:rsid w:val="00363DE0"/>
    <w:rsid w:val="00372D2E"/>
    <w:rsid w:val="003737AB"/>
    <w:rsid w:val="0038599C"/>
    <w:rsid w:val="00395FE2"/>
    <w:rsid w:val="003A3F21"/>
    <w:rsid w:val="003B3675"/>
    <w:rsid w:val="003B4D00"/>
    <w:rsid w:val="003C20FB"/>
    <w:rsid w:val="003F421A"/>
    <w:rsid w:val="003F6E33"/>
    <w:rsid w:val="0044497C"/>
    <w:rsid w:val="00450E3D"/>
    <w:rsid w:val="00480ADE"/>
    <w:rsid w:val="00484EB7"/>
    <w:rsid w:val="00485055"/>
    <w:rsid w:val="00487FE9"/>
    <w:rsid w:val="004A154D"/>
    <w:rsid w:val="004A52F3"/>
    <w:rsid w:val="004A7B1C"/>
    <w:rsid w:val="004C29FB"/>
    <w:rsid w:val="004C4D4B"/>
    <w:rsid w:val="004D23A4"/>
    <w:rsid w:val="004E0942"/>
    <w:rsid w:val="004E0CC8"/>
    <w:rsid w:val="00514BFE"/>
    <w:rsid w:val="00547CE9"/>
    <w:rsid w:val="005717EE"/>
    <w:rsid w:val="00586F34"/>
    <w:rsid w:val="00591F3E"/>
    <w:rsid w:val="00592442"/>
    <w:rsid w:val="00593103"/>
    <w:rsid w:val="00596299"/>
    <w:rsid w:val="005A029A"/>
    <w:rsid w:val="005A4EA8"/>
    <w:rsid w:val="005B0960"/>
    <w:rsid w:val="005D58CE"/>
    <w:rsid w:val="005E0520"/>
    <w:rsid w:val="005F6C36"/>
    <w:rsid w:val="005F73F9"/>
    <w:rsid w:val="00603F2B"/>
    <w:rsid w:val="00616E0C"/>
    <w:rsid w:val="0063481F"/>
    <w:rsid w:val="00670395"/>
    <w:rsid w:val="00673C06"/>
    <w:rsid w:val="00676BD5"/>
    <w:rsid w:val="006C7E63"/>
    <w:rsid w:val="006D33E7"/>
    <w:rsid w:val="006E7245"/>
    <w:rsid w:val="006F48B0"/>
    <w:rsid w:val="0070151C"/>
    <w:rsid w:val="007030BF"/>
    <w:rsid w:val="00704DAA"/>
    <w:rsid w:val="00713425"/>
    <w:rsid w:val="00727378"/>
    <w:rsid w:val="00756F59"/>
    <w:rsid w:val="00760F0A"/>
    <w:rsid w:val="00763131"/>
    <w:rsid w:val="00783279"/>
    <w:rsid w:val="007876F5"/>
    <w:rsid w:val="00791781"/>
    <w:rsid w:val="007A2D24"/>
    <w:rsid w:val="007B360B"/>
    <w:rsid w:val="007E6B6A"/>
    <w:rsid w:val="007F6EFE"/>
    <w:rsid w:val="00805B77"/>
    <w:rsid w:val="00814803"/>
    <w:rsid w:val="00836996"/>
    <w:rsid w:val="00836EDD"/>
    <w:rsid w:val="00844FAD"/>
    <w:rsid w:val="0084798F"/>
    <w:rsid w:val="008669CE"/>
    <w:rsid w:val="00876D96"/>
    <w:rsid w:val="008917BF"/>
    <w:rsid w:val="008947C6"/>
    <w:rsid w:val="008A228A"/>
    <w:rsid w:val="008A70B6"/>
    <w:rsid w:val="008C494B"/>
    <w:rsid w:val="008C4A22"/>
    <w:rsid w:val="008D6BD7"/>
    <w:rsid w:val="008F15BA"/>
    <w:rsid w:val="008F550F"/>
    <w:rsid w:val="00903F85"/>
    <w:rsid w:val="00911268"/>
    <w:rsid w:val="00925AC1"/>
    <w:rsid w:val="00932E9E"/>
    <w:rsid w:val="00940006"/>
    <w:rsid w:val="00957F57"/>
    <w:rsid w:val="009A329D"/>
    <w:rsid w:val="009C371A"/>
    <w:rsid w:val="009F23E9"/>
    <w:rsid w:val="00A15F84"/>
    <w:rsid w:val="00A25CF0"/>
    <w:rsid w:val="00A343E5"/>
    <w:rsid w:val="00A46C1F"/>
    <w:rsid w:val="00A6489C"/>
    <w:rsid w:val="00A73184"/>
    <w:rsid w:val="00A74021"/>
    <w:rsid w:val="00A91E6B"/>
    <w:rsid w:val="00A978F9"/>
    <w:rsid w:val="00A97E64"/>
    <w:rsid w:val="00AB252E"/>
    <w:rsid w:val="00AC0E8C"/>
    <w:rsid w:val="00AE34AB"/>
    <w:rsid w:val="00AF2872"/>
    <w:rsid w:val="00AF7F88"/>
    <w:rsid w:val="00B005A3"/>
    <w:rsid w:val="00B00A6E"/>
    <w:rsid w:val="00B05586"/>
    <w:rsid w:val="00B20FCC"/>
    <w:rsid w:val="00B440C1"/>
    <w:rsid w:val="00B47EFE"/>
    <w:rsid w:val="00B51E74"/>
    <w:rsid w:val="00B53A16"/>
    <w:rsid w:val="00B645E2"/>
    <w:rsid w:val="00B74D2C"/>
    <w:rsid w:val="00B75B76"/>
    <w:rsid w:val="00B96C9D"/>
    <w:rsid w:val="00B97912"/>
    <w:rsid w:val="00BB744D"/>
    <w:rsid w:val="00BB771E"/>
    <w:rsid w:val="00BC2F60"/>
    <w:rsid w:val="00BD0AF2"/>
    <w:rsid w:val="00BD21CB"/>
    <w:rsid w:val="00BD3BDD"/>
    <w:rsid w:val="00BD4328"/>
    <w:rsid w:val="00BF2775"/>
    <w:rsid w:val="00BF6972"/>
    <w:rsid w:val="00C065D2"/>
    <w:rsid w:val="00C10FF1"/>
    <w:rsid w:val="00C231A3"/>
    <w:rsid w:val="00C42AC6"/>
    <w:rsid w:val="00C8556C"/>
    <w:rsid w:val="00C87757"/>
    <w:rsid w:val="00C909BF"/>
    <w:rsid w:val="00C939E4"/>
    <w:rsid w:val="00CA43E0"/>
    <w:rsid w:val="00CA7B85"/>
    <w:rsid w:val="00CB25DF"/>
    <w:rsid w:val="00CB552A"/>
    <w:rsid w:val="00CD2DBE"/>
    <w:rsid w:val="00CE3D74"/>
    <w:rsid w:val="00D2039A"/>
    <w:rsid w:val="00D34FAB"/>
    <w:rsid w:val="00D52B3F"/>
    <w:rsid w:val="00D535AC"/>
    <w:rsid w:val="00D700A3"/>
    <w:rsid w:val="00D7409A"/>
    <w:rsid w:val="00D84884"/>
    <w:rsid w:val="00DA2645"/>
    <w:rsid w:val="00DA4637"/>
    <w:rsid w:val="00DC2A1C"/>
    <w:rsid w:val="00DC36E3"/>
    <w:rsid w:val="00DC4277"/>
    <w:rsid w:val="00DC505A"/>
    <w:rsid w:val="00DC615E"/>
    <w:rsid w:val="00DE0C4D"/>
    <w:rsid w:val="00DE2181"/>
    <w:rsid w:val="00E03829"/>
    <w:rsid w:val="00E174F2"/>
    <w:rsid w:val="00E202C3"/>
    <w:rsid w:val="00E27155"/>
    <w:rsid w:val="00E35747"/>
    <w:rsid w:val="00E5401D"/>
    <w:rsid w:val="00E57D46"/>
    <w:rsid w:val="00E678BE"/>
    <w:rsid w:val="00E8609A"/>
    <w:rsid w:val="00E87A08"/>
    <w:rsid w:val="00E92BC2"/>
    <w:rsid w:val="00E93E7D"/>
    <w:rsid w:val="00EB5B79"/>
    <w:rsid w:val="00EB726B"/>
    <w:rsid w:val="00EB7D92"/>
    <w:rsid w:val="00EC4F48"/>
    <w:rsid w:val="00ED0786"/>
    <w:rsid w:val="00ED1846"/>
    <w:rsid w:val="00EE5BB1"/>
    <w:rsid w:val="00EF676F"/>
    <w:rsid w:val="00F02B96"/>
    <w:rsid w:val="00F046D3"/>
    <w:rsid w:val="00F34940"/>
    <w:rsid w:val="00F41B8C"/>
    <w:rsid w:val="00F600E5"/>
    <w:rsid w:val="00F71050"/>
    <w:rsid w:val="00F81D22"/>
    <w:rsid w:val="00F92416"/>
    <w:rsid w:val="00F936FE"/>
    <w:rsid w:val="00F94BC7"/>
    <w:rsid w:val="00F95400"/>
    <w:rsid w:val="00FA2A4D"/>
    <w:rsid w:val="00FA6988"/>
    <w:rsid w:val="00FC340A"/>
    <w:rsid w:val="00FC53FA"/>
    <w:rsid w:val="00FD3D3A"/>
    <w:rsid w:val="00FD6C95"/>
    <w:rsid w:val="00FF7359"/>
    <w:rsid w:val="0A287283"/>
    <w:rsid w:val="0DB36C81"/>
    <w:rsid w:val="11723931"/>
    <w:rsid w:val="17D75618"/>
    <w:rsid w:val="1F86291D"/>
    <w:rsid w:val="217804A9"/>
    <w:rsid w:val="32952A45"/>
    <w:rsid w:val="32DB1603"/>
    <w:rsid w:val="33B50483"/>
    <w:rsid w:val="33E848D6"/>
    <w:rsid w:val="39456DD0"/>
    <w:rsid w:val="3A7A1298"/>
    <w:rsid w:val="552D5773"/>
    <w:rsid w:val="57835DCE"/>
    <w:rsid w:val="59525A26"/>
    <w:rsid w:val="59F15324"/>
    <w:rsid w:val="676B7FB7"/>
    <w:rsid w:val="6843610C"/>
    <w:rsid w:val="74723565"/>
    <w:rsid w:val="77C4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47A82"/>
  <w15:docId w15:val="{66C8158C-7009-45CF-97F3-201AB0EB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qFormat/>
    <w:pPr>
      <w:jc w:val="left"/>
      <w:outlineLvl w:val="0"/>
    </w:pPr>
    <w:rPr>
      <w:rFonts w:asciiTheme="minorEastAsia" w:hAnsiTheme="minorEastAsia" w:cs="Times New Roman"/>
      <w:sz w:val="28"/>
      <w:szCs w:val="28"/>
    </w:rPr>
  </w:style>
  <w:style w:type="paragraph" w:styleId="a7">
    <w:name w:val="Body Text Indent"/>
    <w:basedOn w:val="a"/>
    <w:link w:val="a8"/>
    <w:uiPriority w:val="99"/>
    <w:semiHidden/>
    <w:unhideWhenUsed/>
    <w:qFormat/>
    <w:pPr>
      <w:spacing w:after="120"/>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0"/>
    <w:uiPriority w:val="99"/>
    <w:semiHidden/>
    <w:unhideWhenUsed/>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正文文本 字符"/>
    <w:basedOn w:val="a0"/>
    <w:link w:val="a5"/>
    <w:qFormat/>
    <w:rPr>
      <w:rFonts w:asciiTheme="minorEastAsia" w:hAnsiTheme="minorEastAsia" w:cs="Times New Roman"/>
      <w:sz w:val="28"/>
      <w:szCs w:val="28"/>
    </w:rPr>
  </w:style>
  <w:style w:type="character" w:customStyle="1" w:styleId="aa">
    <w:name w:val="批注框文本 字符"/>
    <w:basedOn w:val="a0"/>
    <w:link w:val="a9"/>
    <w:uiPriority w:val="99"/>
    <w:semiHidden/>
    <w:qFormat/>
    <w:rPr>
      <w:sz w:val="18"/>
      <w:szCs w:val="18"/>
    </w:rPr>
  </w:style>
  <w:style w:type="character" w:customStyle="1" w:styleId="a8">
    <w:name w:val="正文文本缩进 字符"/>
    <w:basedOn w:val="a0"/>
    <w:link w:val="a7"/>
    <w:uiPriority w:val="99"/>
    <w:semiHidden/>
    <w:qFormat/>
  </w:style>
  <w:style w:type="character" w:customStyle="1" w:styleId="Char">
    <w:name w:val="段 Char"/>
    <w:basedOn w:val="a0"/>
    <w:link w:val="af1"/>
    <w:qFormat/>
    <w:rPr>
      <w:rFonts w:ascii="宋体" w:eastAsia="宋体" w:hAnsi="Times New Roman" w:cs="Times New Roman" w:hint="eastAsia"/>
      <w:kern w:val="0"/>
      <w:szCs w:val="20"/>
    </w:rPr>
  </w:style>
  <w:style w:type="paragraph" w:customStyle="1" w:styleId="af1">
    <w:name w:val="段"/>
    <w:basedOn w:val="a"/>
    <w:link w:val="Char"/>
    <w:qFormat/>
    <w:pPr>
      <w:widowControl/>
      <w:tabs>
        <w:tab w:val="center" w:pos="4201"/>
        <w:tab w:val="right" w:leader="dot" w:pos="9298"/>
      </w:tabs>
      <w:autoSpaceDE w:val="0"/>
      <w:autoSpaceDN w:val="0"/>
      <w:ind w:firstLineChars="200" w:firstLine="420"/>
    </w:pPr>
    <w:rPr>
      <w:rFonts w:ascii="宋体" w:eastAsia="宋体" w:hAnsi="Times New Roman" w:cs="Times New Roman" w:hint="eastAsia"/>
      <w:kern w:val="0"/>
      <w:szCs w:val="20"/>
    </w:rPr>
  </w:style>
  <w:style w:type="paragraph" w:customStyle="1" w:styleId="11">
    <w:name w:val="正文1"/>
    <w:qFormat/>
    <w:pPr>
      <w:jc w:val="both"/>
    </w:pPr>
    <w:rPr>
      <w:rFonts w:ascii="Calibri" w:hAnsi="Calibri" w:cs="Calibri"/>
      <w:kern w:val="2"/>
      <w:sz w:val="21"/>
      <w:szCs w:val="21"/>
    </w:rPr>
  </w:style>
  <w:style w:type="paragraph" w:styleId="af2">
    <w:name w:val="List Paragraph"/>
    <w:basedOn w:val="a"/>
    <w:uiPriority w:val="34"/>
    <w:qFormat/>
    <w:pPr>
      <w:ind w:firstLineChars="200" w:firstLine="420"/>
    </w:p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styleId="af3">
    <w:name w:val="annotation subject"/>
    <w:basedOn w:val="a3"/>
    <w:next w:val="a3"/>
    <w:link w:val="af4"/>
    <w:uiPriority w:val="99"/>
    <w:semiHidden/>
    <w:unhideWhenUsed/>
    <w:rsid w:val="00D7409A"/>
    <w:rPr>
      <w:b/>
      <w:bCs/>
    </w:rPr>
  </w:style>
  <w:style w:type="character" w:customStyle="1" w:styleId="a4">
    <w:name w:val="批注文字 字符"/>
    <w:basedOn w:val="a0"/>
    <w:link w:val="a3"/>
    <w:uiPriority w:val="99"/>
    <w:semiHidden/>
    <w:rsid w:val="00D7409A"/>
    <w:rPr>
      <w:rFonts w:asciiTheme="minorHAnsi" w:eastAsiaTheme="minorEastAsia" w:hAnsiTheme="minorHAnsi" w:cstheme="minorBidi"/>
      <w:kern w:val="2"/>
      <w:sz w:val="21"/>
      <w:szCs w:val="22"/>
    </w:rPr>
  </w:style>
  <w:style w:type="character" w:customStyle="1" w:styleId="af4">
    <w:name w:val="批注主题 字符"/>
    <w:basedOn w:val="a4"/>
    <w:link w:val="af3"/>
    <w:uiPriority w:val="99"/>
    <w:semiHidden/>
    <w:rsid w:val="00D7409A"/>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8E71B-3603-443C-889E-0C32B778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2677</Characters>
  <Application>Microsoft Office Word</Application>
  <DocSecurity>0</DocSecurity>
  <Lines>22</Lines>
  <Paragraphs>6</Paragraphs>
  <ScaleCrop>false</ScaleCrop>
  <Company>China</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jxh</dc:creator>
  <cp:lastModifiedBy>HP</cp:lastModifiedBy>
  <cp:revision>5</cp:revision>
  <cp:lastPrinted>2019-05-21T02:17:00Z</cp:lastPrinted>
  <dcterms:created xsi:type="dcterms:W3CDTF">2019-05-17T00:45:00Z</dcterms:created>
  <dcterms:modified xsi:type="dcterms:W3CDTF">2019-05-21T02:17:00Z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