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1C" w:rsidRPr="009D169D" w:rsidRDefault="000F4C1C" w:rsidP="005D3D41">
      <w:pPr>
        <w:snapToGrid w:val="0"/>
        <w:spacing w:beforeLines="100" w:afterLines="100" w:line="440" w:lineRule="atLeast"/>
        <w:jc w:val="left"/>
        <w:rPr>
          <w:rFonts w:ascii="黑体" w:eastAsia="黑体" w:hAnsi="黑体" w:cs="Times New Roman"/>
          <w:color w:val="000000"/>
          <w:sz w:val="32"/>
          <w:szCs w:val="32"/>
        </w:rPr>
      </w:pPr>
      <w:r w:rsidRPr="009D169D">
        <w:rPr>
          <w:rFonts w:ascii="黑体" w:eastAsia="黑体" w:hAnsi="黑体" w:cs="黑体" w:hint="eastAsia"/>
          <w:color w:val="000000"/>
          <w:sz w:val="32"/>
          <w:szCs w:val="32"/>
        </w:rPr>
        <w:t>附件</w:t>
      </w:r>
      <w:r>
        <w:rPr>
          <w:rFonts w:ascii="黑体" w:eastAsia="黑体" w:hAnsi="黑体" w:cs="黑体"/>
          <w:color w:val="000000"/>
          <w:sz w:val="32"/>
          <w:szCs w:val="32"/>
        </w:rPr>
        <w:t>1</w:t>
      </w:r>
    </w:p>
    <w:p w:rsidR="000F4C1C" w:rsidRPr="00560FF6" w:rsidRDefault="000F4C1C">
      <w:pPr>
        <w:spacing w:before="120" w:after="240" w:line="360" w:lineRule="auto"/>
        <w:jc w:val="center"/>
        <w:rPr>
          <w:rFonts w:ascii="华文中宋" w:eastAsia="华文中宋" w:hAnsi="华文中宋" w:cs="Times New Roman"/>
          <w:sz w:val="44"/>
          <w:szCs w:val="44"/>
        </w:rPr>
      </w:pPr>
      <w:r w:rsidRPr="00560FF6">
        <w:rPr>
          <w:rFonts w:ascii="华文中宋" w:eastAsia="华文中宋" w:hAnsi="华文中宋" w:cs="华文中宋" w:hint="eastAsia"/>
          <w:sz w:val="44"/>
          <w:szCs w:val="44"/>
        </w:rPr>
        <w:t>珠宝首饰评估程序指导意见</w:t>
      </w:r>
    </w:p>
    <w:p w:rsidR="000F4C1C" w:rsidRPr="00560FF6" w:rsidRDefault="000F4C1C">
      <w:pPr>
        <w:spacing w:before="120" w:after="240" w:line="360" w:lineRule="auto"/>
        <w:jc w:val="center"/>
        <w:rPr>
          <w:rFonts w:ascii="华文中宋" w:eastAsia="华文中宋" w:hAnsi="华文中宋" w:cs="Times New Roman"/>
          <w:sz w:val="44"/>
          <w:szCs w:val="44"/>
        </w:rPr>
      </w:pPr>
      <w:r w:rsidRPr="00560FF6">
        <w:rPr>
          <w:rFonts w:ascii="华文中宋" w:eastAsia="华文中宋" w:hAnsi="华文中宋" w:cs="华文中宋" w:hint="eastAsia"/>
          <w:sz w:val="44"/>
          <w:szCs w:val="44"/>
        </w:rPr>
        <w:t>（征求意见稿）</w:t>
      </w:r>
    </w:p>
    <w:p w:rsidR="000F4C1C" w:rsidRPr="00EA62D6" w:rsidRDefault="000F4C1C">
      <w:pPr>
        <w:pStyle w:val="ListParagraph"/>
        <w:numPr>
          <w:ilvl w:val="0"/>
          <w:numId w:val="3"/>
        </w:numPr>
        <w:spacing w:before="240" w:after="240" w:line="480" w:lineRule="auto"/>
        <w:ind w:left="1111" w:firstLineChars="0" w:hanging="1111"/>
        <w:jc w:val="center"/>
        <w:rPr>
          <w:rFonts w:ascii="黑体" w:eastAsia="黑体" w:hAnsi="黑体" w:cs="Times New Roman"/>
          <w:sz w:val="32"/>
          <w:szCs w:val="32"/>
        </w:rPr>
      </w:pPr>
      <w:r w:rsidRPr="00EA62D6">
        <w:rPr>
          <w:rFonts w:ascii="黑体" w:eastAsia="黑体" w:hAnsi="黑体" w:cs="黑体" w:hint="eastAsia"/>
          <w:sz w:val="32"/>
          <w:szCs w:val="32"/>
        </w:rPr>
        <w:t>总则</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int="eastAsia"/>
          <w:b/>
          <w:bCs/>
          <w:sz w:val="28"/>
          <w:szCs w:val="28"/>
        </w:rPr>
        <w:t>第一条</w:t>
      </w:r>
      <w:r w:rsidRPr="00EA62D6">
        <w:rPr>
          <w:sz w:val="28"/>
          <w:szCs w:val="28"/>
        </w:rPr>
        <w:t xml:space="preserve"> </w:t>
      </w:r>
      <w:r w:rsidRPr="00EA62D6">
        <w:rPr>
          <w:rFonts w:ascii="仿宋_GB2312" w:eastAsia="仿宋_GB2312" w:cs="仿宋_GB2312" w:hint="eastAsia"/>
          <w:sz w:val="32"/>
          <w:szCs w:val="32"/>
        </w:rPr>
        <w:t>为规范珠宝首饰评估行为，明确和完善评估程序，确保评估结论客观、公正、合理，保护资产评估当事人合法权益和公共利益，根据《资产评估执业准则</w:t>
      </w:r>
      <w:r w:rsidRPr="00EA62D6">
        <w:rPr>
          <w:rFonts w:ascii="仿宋_GB2312" w:eastAsia="仿宋_GB2312" w:cs="Times New Roman"/>
          <w:sz w:val="32"/>
          <w:szCs w:val="32"/>
        </w:rPr>
        <w:t>——</w:t>
      </w:r>
      <w:r w:rsidRPr="00EA62D6">
        <w:rPr>
          <w:rFonts w:ascii="仿宋_GB2312" w:eastAsia="仿宋_GB2312" w:cs="仿宋_GB2312" w:hint="eastAsia"/>
          <w:sz w:val="32"/>
          <w:szCs w:val="32"/>
        </w:rPr>
        <w:t>资产评估程序》《资产评估执业准则</w:t>
      </w:r>
      <w:r w:rsidRPr="00EA62D6">
        <w:rPr>
          <w:rFonts w:ascii="仿宋_GB2312" w:eastAsia="仿宋_GB2312" w:cs="Times New Roman"/>
          <w:sz w:val="32"/>
          <w:szCs w:val="32"/>
        </w:rPr>
        <w:t>——</w:t>
      </w:r>
      <w:r w:rsidRPr="00EA62D6">
        <w:rPr>
          <w:rFonts w:ascii="仿宋_GB2312" w:eastAsia="仿宋_GB2312" w:cs="仿宋_GB2312" w:hint="eastAsia"/>
          <w:sz w:val="32"/>
          <w:szCs w:val="32"/>
        </w:rPr>
        <w:t>珠宝首饰》，制定本指导意见。</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int="eastAsia"/>
          <w:b/>
          <w:bCs/>
          <w:sz w:val="28"/>
          <w:szCs w:val="28"/>
        </w:rPr>
        <w:t>第二条</w:t>
      </w:r>
      <w:r w:rsidRPr="00EA62D6">
        <w:rPr>
          <w:rFonts w:hAnsi="宋体"/>
          <w:sz w:val="28"/>
          <w:szCs w:val="28"/>
        </w:rPr>
        <w:t xml:space="preserve"> </w:t>
      </w:r>
      <w:r w:rsidRPr="00EA62D6">
        <w:rPr>
          <w:rFonts w:ascii="仿宋_GB2312" w:eastAsia="仿宋_GB2312" w:cs="仿宋_GB2312" w:hint="eastAsia"/>
          <w:sz w:val="32"/>
          <w:szCs w:val="32"/>
        </w:rPr>
        <w:t>本指导意见所称珠宝首饰评估程序，是指资产评估机构及其珠宝评估专业人员遵守法律、行政法规和资产评估准则，执行珠宝首饰评估业务，所履行的专业技术性工作步骤，是对《资产评估执业准则</w:t>
      </w:r>
      <w:r w:rsidRPr="00EA62D6">
        <w:rPr>
          <w:rFonts w:ascii="仿宋_GB2312" w:eastAsia="仿宋_GB2312" w:cs="Times New Roman"/>
          <w:sz w:val="32"/>
          <w:szCs w:val="32"/>
        </w:rPr>
        <w:t>——</w:t>
      </w:r>
      <w:r w:rsidRPr="00EA62D6">
        <w:rPr>
          <w:rFonts w:ascii="仿宋_GB2312" w:eastAsia="仿宋_GB2312" w:cs="仿宋_GB2312" w:hint="eastAsia"/>
          <w:sz w:val="32"/>
          <w:szCs w:val="32"/>
        </w:rPr>
        <w:t>珠宝首饰》相关操作程序的细化。</w:t>
      </w:r>
    </w:p>
    <w:p w:rsidR="000F4C1C" w:rsidRPr="00EA62D6" w:rsidRDefault="000F4C1C" w:rsidP="002F1C23">
      <w:pPr>
        <w:pStyle w:val="a3"/>
        <w:spacing w:line="480" w:lineRule="auto"/>
        <w:ind w:firstLine="31680"/>
        <w:rPr>
          <w:rFonts w:cs="Times New Roman"/>
          <w:sz w:val="28"/>
          <w:szCs w:val="28"/>
        </w:rPr>
      </w:pPr>
      <w:r w:rsidRPr="00EA62D6">
        <w:rPr>
          <w:rFonts w:hint="eastAsia"/>
          <w:b/>
          <w:bCs/>
          <w:sz w:val="28"/>
          <w:szCs w:val="28"/>
        </w:rPr>
        <w:t>第三条</w:t>
      </w:r>
      <w:r w:rsidRPr="00EA62D6">
        <w:rPr>
          <w:b/>
          <w:bCs/>
          <w:sz w:val="28"/>
          <w:szCs w:val="28"/>
        </w:rPr>
        <w:t xml:space="preserve"> </w:t>
      </w:r>
      <w:r w:rsidRPr="00EA62D6">
        <w:rPr>
          <w:rFonts w:ascii="仿宋_GB2312" w:eastAsia="仿宋_GB2312" w:cs="仿宋_GB2312" w:hint="eastAsia"/>
          <w:sz w:val="32"/>
          <w:szCs w:val="32"/>
        </w:rPr>
        <w:t>执行珠宝首饰资产评估业务，应当遵守本指导意见。</w:t>
      </w:r>
    </w:p>
    <w:p w:rsidR="000F4C1C" w:rsidRPr="00EA62D6" w:rsidRDefault="000F4C1C">
      <w:pPr>
        <w:pStyle w:val="ListParagraph"/>
        <w:numPr>
          <w:ilvl w:val="0"/>
          <w:numId w:val="3"/>
        </w:numPr>
        <w:spacing w:before="240" w:after="240" w:line="480" w:lineRule="auto"/>
        <w:ind w:left="1111" w:firstLineChars="0" w:hanging="1111"/>
        <w:jc w:val="center"/>
        <w:rPr>
          <w:rFonts w:ascii="黑体" w:eastAsia="黑体" w:hAnsi="黑体" w:cs="Times New Roman"/>
          <w:sz w:val="32"/>
          <w:szCs w:val="32"/>
        </w:rPr>
      </w:pPr>
      <w:r w:rsidRPr="00EA62D6">
        <w:rPr>
          <w:rFonts w:ascii="黑体" w:eastAsia="黑体" w:hAnsi="黑体" w:cs="黑体" w:hint="eastAsia"/>
          <w:sz w:val="32"/>
          <w:szCs w:val="32"/>
        </w:rPr>
        <w:t>基本遵循</w:t>
      </w:r>
    </w:p>
    <w:p w:rsidR="000F4C1C" w:rsidRPr="00EA62D6" w:rsidRDefault="000F4C1C" w:rsidP="002F1C23">
      <w:pPr>
        <w:pStyle w:val="a3"/>
        <w:widowControl w:val="0"/>
        <w:spacing w:line="360" w:lineRule="auto"/>
        <w:ind w:firstLine="31680"/>
        <w:rPr>
          <w:rFonts w:ascii="仿宋_GB2312" w:eastAsia="仿宋_GB2312" w:cs="Times New Roman"/>
          <w:sz w:val="32"/>
          <w:szCs w:val="32"/>
        </w:rPr>
      </w:pPr>
      <w:r w:rsidRPr="00EA62D6">
        <w:rPr>
          <w:rFonts w:hint="eastAsia"/>
          <w:b/>
          <w:bCs/>
          <w:sz w:val="28"/>
          <w:szCs w:val="28"/>
        </w:rPr>
        <w:t>第四条</w:t>
      </w:r>
      <w:r w:rsidRPr="00EA62D6">
        <w:rPr>
          <w:b/>
          <w:bCs/>
          <w:sz w:val="28"/>
          <w:szCs w:val="28"/>
        </w:rPr>
        <w:t xml:space="preserve"> </w:t>
      </w:r>
      <w:r w:rsidRPr="00EA62D6">
        <w:rPr>
          <w:rFonts w:ascii="仿宋_GB2312" w:eastAsia="仿宋_GB2312" w:cs="仿宋_GB2312" w:hint="eastAsia"/>
          <w:sz w:val="32"/>
          <w:szCs w:val="32"/>
        </w:rPr>
        <w:t>执行珠宝首饰评估业务的资产评估机构及其珠宝评估专业人员，应当坚持独立、客观、公正的原则，诚实守信，勤勉尽责，谨慎从业，遵守职业道德准则，独立进行分析、估算并形成专业意见。</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int="eastAsia"/>
          <w:b/>
          <w:bCs/>
          <w:sz w:val="28"/>
          <w:szCs w:val="28"/>
        </w:rPr>
        <w:t>第五条</w:t>
      </w:r>
      <w:r w:rsidRPr="00EA62D6">
        <w:rPr>
          <w:b/>
          <w:bCs/>
          <w:sz w:val="28"/>
          <w:szCs w:val="28"/>
        </w:rPr>
        <w:t xml:space="preserve"> </w:t>
      </w:r>
      <w:bookmarkStart w:id="0" w:name="_Toc496620478"/>
      <w:bookmarkStart w:id="1" w:name="_Toc498070883"/>
      <w:bookmarkStart w:id="2" w:name="_Toc496268798"/>
      <w:r w:rsidRPr="00EA62D6">
        <w:rPr>
          <w:rFonts w:ascii="仿宋_GB2312" w:eastAsia="仿宋_GB2312" w:cs="仿宋_GB2312" w:hint="eastAsia"/>
          <w:sz w:val="32"/>
          <w:szCs w:val="32"/>
        </w:rPr>
        <w:t>执行珠宝首饰评估业务的资产评估机构及其珠宝评估专业人员，除具备资产评估相关知识外，应当具备珠宝首饰评估专业知识和实践经验，能够胜任所执行的珠宝首饰鉴定评估业务。</w:t>
      </w:r>
      <w:bookmarkEnd w:id="0"/>
      <w:bookmarkEnd w:id="1"/>
      <w:bookmarkEnd w:id="2"/>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int="eastAsia"/>
          <w:b/>
          <w:bCs/>
          <w:sz w:val="28"/>
          <w:szCs w:val="28"/>
        </w:rPr>
        <w:t>第六条</w:t>
      </w:r>
      <w:r w:rsidRPr="00EA62D6">
        <w:rPr>
          <w:b/>
          <w:bCs/>
          <w:sz w:val="28"/>
          <w:szCs w:val="28"/>
        </w:rPr>
        <w:t xml:space="preserve"> </w:t>
      </w:r>
      <w:r w:rsidRPr="00EA62D6">
        <w:rPr>
          <w:rFonts w:ascii="仿宋_GB2312" w:eastAsia="仿宋_GB2312" w:cs="仿宋_GB2312" w:hint="eastAsia"/>
          <w:sz w:val="32"/>
          <w:szCs w:val="32"/>
        </w:rPr>
        <w:t>珠宝评估专业人员应当掌握不同种类珠宝玉石和贵金属的主要鉴定特征和鉴定方法；掌握不同种类珠宝玉石的品质评价要素和评价方法；掌握珠宝首饰鉴定、分类和分级的国家标准等相关标准和法规。</w:t>
      </w:r>
    </w:p>
    <w:p w:rsidR="000F4C1C" w:rsidRPr="00EA62D6" w:rsidRDefault="000F4C1C" w:rsidP="00AC2D6E">
      <w:pPr>
        <w:pStyle w:val="a3"/>
        <w:spacing w:line="360" w:lineRule="auto"/>
        <w:ind w:firstLine="31680"/>
        <w:rPr>
          <w:rFonts w:ascii="仿宋_GB2312" w:eastAsia="仿宋_GB2312" w:cs="Times New Roman"/>
          <w:sz w:val="32"/>
          <w:szCs w:val="32"/>
        </w:rPr>
      </w:pPr>
      <w:bookmarkStart w:id="3" w:name="_Toc498070889"/>
      <w:bookmarkStart w:id="4" w:name="_Toc496620484"/>
      <w:r w:rsidRPr="00EA62D6">
        <w:rPr>
          <w:rFonts w:hint="eastAsia"/>
          <w:b/>
          <w:bCs/>
          <w:sz w:val="28"/>
          <w:szCs w:val="28"/>
        </w:rPr>
        <w:t>第七条</w:t>
      </w:r>
      <w:r w:rsidRPr="00EA62D6">
        <w:rPr>
          <w:b/>
          <w:bCs/>
          <w:sz w:val="28"/>
          <w:szCs w:val="28"/>
        </w:rPr>
        <w:t xml:space="preserve"> </w:t>
      </w:r>
      <w:r w:rsidRPr="00EA62D6">
        <w:rPr>
          <w:rFonts w:ascii="仿宋_GB2312" w:eastAsia="仿宋_GB2312" w:cs="仿宋_GB2312" w:hint="eastAsia"/>
          <w:sz w:val="32"/>
          <w:szCs w:val="32"/>
        </w:rPr>
        <w:t>执行珠宝首饰评估业务，应当考虑评估目的、市场条件、评估对象特点等因素，恰当选择价值类型和评估方法，明确合理的评估假设。</w:t>
      </w:r>
    </w:p>
    <w:p w:rsidR="000F4C1C" w:rsidRPr="00EA62D6" w:rsidRDefault="000F4C1C">
      <w:pPr>
        <w:spacing w:before="240" w:after="240" w:line="480" w:lineRule="auto"/>
        <w:jc w:val="center"/>
        <w:rPr>
          <w:rFonts w:ascii="黑体" w:eastAsia="黑体" w:hAnsi="黑体" w:cs="Times New Roman"/>
          <w:sz w:val="32"/>
          <w:szCs w:val="32"/>
        </w:rPr>
      </w:pPr>
      <w:r w:rsidRPr="00EA62D6">
        <w:rPr>
          <w:rFonts w:ascii="黑体" w:eastAsia="黑体" w:hAnsi="黑体" w:cs="黑体" w:hint="eastAsia"/>
          <w:sz w:val="32"/>
          <w:szCs w:val="32"/>
        </w:rPr>
        <w:t>第三章</w:t>
      </w:r>
      <w:r w:rsidRPr="00EA62D6">
        <w:rPr>
          <w:rFonts w:ascii="黑体" w:eastAsia="黑体" w:hAnsi="黑体" w:cs="黑体"/>
          <w:sz w:val="32"/>
          <w:szCs w:val="32"/>
        </w:rPr>
        <w:t xml:space="preserve"> </w:t>
      </w:r>
      <w:r w:rsidRPr="00EA62D6">
        <w:rPr>
          <w:rFonts w:ascii="黑体" w:eastAsia="黑体" w:hAnsi="黑体" w:cs="黑体" w:hint="eastAsia"/>
          <w:sz w:val="32"/>
          <w:szCs w:val="32"/>
        </w:rPr>
        <w:t>评估对象</w:t>
      </w:r>
    </w:p>
    <w:bookmarkEnd w:id="3"/>
    <w:bookmarkEnd w:id="4"/>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int="eastAsia"/>
          <w:b/>
          <w:bCs/>
          <w:sz w:val="28"/>
          <w:szCs w:val="28"/>
        </w:rPr>
        <w:t>第八条</w:t>
      </w:r>
      <w:r w:rsidRPr="00EA62D6">
        <w:rPr>
          <w:rFonts w:hAnsi="宋体"/>
          <w:sz w:val="28"/>
          <w:szCs w:val="28"/>
        </w:rPr>
        <w:t xml:space="preserve"> </w:t>
      </w:r>
      <w:r w:rsidRPr="00EA62D6">
        <w:rPr>
          <w:rFonts w:ascii="仿宋_GB2312" w:eastAsia="仿宋_GB2312" w:cs="仿宋_GB2312" w:hint="eastAsia"/>
          <w:sz w:val="32"/>
          <w:szCs w:val="32"/>
        </w:rPr>
        <w:t>评估对象应当为合法拥有、合法流通、合法处置、依法裁定的珠宝首饰实物资产。</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int="eastAsia"/>
          <w:b/>
          <w:bCs/>
          <w:sz w:val="28"/>
          <w:szCs w:val="28"/>
        </w:rPr>
        <w:t>第九条</w:t>
      </w:r>
      <w:r w:rsidRPr="00EA62D6">
        <w:rPr>
          <w:rFonts w:hAnsi="宋体"/>
          <w:sz w:val="28"/>
          <w:szCs w:val="28"/>
        </w:rPr>
        <w:t xml:space="preserve"> </w:t>
      </w:r>
      <w:r w:rsidRPr="00EA62D6">
        <w:rPr>
          <w:rFonts w:hAnsi="宋体" w:hint="eastAsia"/>
          <w:sz w:val="28"/>
          <w:szCs w:val="28"/>
        </w:rPr>
        <w:t>执行</w:t>
      </w:r>
      <w:r w:rsidRPr="00EA62D6">
        <w:rPr>
          <w:rFonts w:ascii="仿宋_GB2312" w:eastAsia="仿宋_GB2312" w:cs="仿宋_GB2312" w:hint="eastAsia"/>
          <w:sz w:val="32"/>
          <w:szCs w:val="32"/>
        </w:rPr>
        <w:t>珠宝首饰评估业务，根据项目具体情况和委托人的要求，评估对象可以是单体珠宝首饰或批量珠宝首饰。</w:t>
      </w:r>
    </w:p>
    <w:p w:rsidR="000F4C1C" w:rsidRPr="00EA62D6" w:rsidRDefault="000F4C1C" w:rsidP="002F1C23">
      <w:pPr>
        <w:pStyle w:val="a3"/>
        <w:spacing w:line="360" w:lineRule="auto"/>
        <w:ind w:firstLine="31680"/>
        <w:rPr>
          <w:rFonts w:cs="Times New Roman"/>
        </w:rPr>
      </w:pPr>
      <w:r w:rsidRPr="00EA62D6">
        <w:rPr>
          <w:rFonts w:ascii="仿宋_GB2312" w:eastAsia="仿宋_GB2312" w:cs="仿宋_GB2312" w:hint="eastAsia"/>
          <w:sz w:val="32"/>
          <w:szCs w:val="32"/>
        </w:rPr>
        <w:t>批量珠宝首饰是泛指各种类别、各种数量的珠宝首饰组合。</w:t>
      </w:r>
    </w:p>
    <w:p w:rsidR="000F4C1C" w:rsidRPr="00EA62D6" w:rsidRDefault="000F4C1C">
      <w:pPr>
        <w:spacing w:before="240" w:after="240" w:line="360" w:lineRule="auto"/>
        <w:jc w:val="center"/>
        <w:rPr>
          <w:rFonts w:ascii="黑体" w:eastAsia="黑体" w:hAnsi="黑体" w:cs="Times New Roman"/>
          <w:sz w:val="32"/>
          <w:szCs w:val="32"/>
        </w:rPr>
      </w:pPr>
      <w:r w:rsidRPr="00EA62D6">
        <w:rPr>
          <w:rFonts w:ascii="黑体" w:eastAsia="黑体" w:hAnsi="黑体" w:cs="黑体" w:hint="eastAsia"/>
          <w:sz w:val="32"/>
          <w:szCs w:val="32"/>
        </w:rPr>
        <w:t>第四章</w:t>
      </w:r>
      <w:r w:rsidRPr="00EA62D6">
        <w:rPr>
          <w:rFonts w:ascii="黑体" w:eastAsia="黑体" w:hAnsi="黑体" w:cs="黑体"/>
          <w:sz w:val="32"/>
          <w:szCs w:val="32"/>
        </w:rPr>
        <w:t xml:space="preserve"> </w:t>
      </w:r>
      <w:r w:rsidRPr="00EA62D6">
        <w:rPr>
          <w:rFonts w:ascii="黑体" w:eastAsia="黑体" w:hAnsi="黑体" w:cs="黑体" w:hint="eastAsia"/>
          <w:sz w:val="32"/>
          <w:szCs w:val="32"/>
        </w:rPr>
        <w:t>执行要求</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第十条</w:t>
      </w:r>
      <w:r w:rsidRPr="00EA62D6">
        <w:rPr>
          <w:rFonts w:hAnsi="宋体"/>
          <w:b/>
          <w:bCs/>
          <w:sz w:val="28"/>
          <w:szCs w:val="28"/>
        </w:rPr>
        <w:t xml:space="preserve"> </w:t>
      </w:r>
      <w:r w:rsidRPr="00EA62D6">
        <w:rPr>
          <w:rFonts w:ascii="仿宋_GB2312" w:eastAsia="仿宋_GB2312" w:cs="仿宋_GB2312" w:hint="eastAsia"/>
          <w:sz w:val="32"/>
          <w:szCs w:val="32"/>
        </w:rPr>
        <w:t>执行珠宝首饰评估业务，应当遵循《资产评估执业准则</w:t>
      </w:r>
      <w:r w:rsidRPr="00EA62D6">
        <w:rPr>
          <w:rFonts w:ascii="仿宋_GB2312" w:eastAsia="仿宋_GB2312" w:cs="Times New Roman"/>
          <w:sz w:val="32"/>
          <w:szCs w:val="32"/>
        </w:rPr>
        <w:t>——</w:t>
      </w:r>
      <w:r w:rsidRPr="00EA62D6">
        <w:rPr>
          <w:rFonts w:ascii="仿宋_GB2312" w:eastAsia="仿宋_GB2312" w:cs="仿宋_GB2312" w:hint="eastAsia"/>
          <w:sz w:val="32"/>
          <w:szCs w:val="32"/>
        </w:rPr>
        <w:t>资产评估程序》，并结合珠宝首饰评估业务的具体情况，履行评估程序。</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第十一条</w:t>
      </w:r>
      <w:r w:rsidRPr="00EA62D6">
        <w:rPr>
          <w:rFonts w:hAnsi="宋体"/>
          <w:b/>
          <w:bCs/>
          <w:sz w:val="28"/>
          <w:szCs w:val="28"/>
        </w:rPr>
        <w:t xml:space="preserve"> </w:t>
      </w:r>
      <w:bookmarkStart w:id="5" w:name="_Toc482011757"/>
      <w:bookmarkStart w:id="6" w:name="_Toc475691891"/>
      <w:bookmarkStart w:id="7" w:name="_Toc479868116"/>
      <w:bookmarkStart w:id="8" w:name="_Toc488843959"/>
      <w:bookmarkStart w:id="9" w:name="_Toc474767449"/>
      <w:bookmarkStart w:id="10" w:name="_Toc496620504"/>
      <w:bookmarkStart w:id="11" w:name="_Toc489017184"/>
      <w:bookmarkStart w:id="12" w:name="_Toc496268824"/>
      <w:bookmarkStart w:id="13" w:name="_Toc480991162"/>
      <w:bookmarkStart w:id="14" w:name="_Toc481052092"/>
      <w:bookmarkStart w:id="15" w:name="_Toc498070909"/>
      <w:bookmarkStart w:id="16" w:name="_Toc474769067"/>
      <w:bookmarkStart w:id="17" w:name="_Toc474767590"/>
      <w:bookmarkStart w:id="18" w:name="_Toc476213811"/>
      <w:bookmarkStart w:id="19" w:name="_Toc479863040"/>
      <w:r w:rsidRPr="00EA62D6">
        <w:rPr>
          <w:rFonts w:ascii="仿宋_GB2312" w:eastAsia="仿宋_GB2312" w:cs="仿宋_GB2312" w:hint="eastAsia"/>
          <w:sz w:val="32"/>
          <w:szCs w:val="32"/>
        </w:rPr>
        <w:t>资产评估机构受理珠宝首饰评估业务，应当明确珠宝首饰评估</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EA62D6">
        <w:rPr>
          <w:rFonts w:ascii="仿宋_GB2312" w:eastAsia="仿宋_GB2312" w:cs="仿宋_GB2312" w:hint="eastAsia"/>
          <w:sz w:val="32"/>
          <w:szCs w:val="32"/>
        </w:rPr>
        <w:t>基本事项。重点关注以下方面：</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一）明确评估对象和评估范围，关注评估对象的权属和合法性。珠宝评估专业人员应当对珠宝首饰的相关权属资料进行必要查验，若确无权属资料，应当要求委托人或者相关当事人对珠宝首饰的权属做出书面说明；</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（二）明确评估目的，了解评估报告所服务的经济行为、委托人及其他相关当事人；</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（三）明确评估基准日及评估报告提交期限；</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（四）明确评估工作的责任，对业务风险进行综合分析和评价。若存在超出专业胜任能力、超出可控的道德风险、工作条件受到限制致使评估程序关键环节缺失等，评估机构应当及时中止或终止评估任务。</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第十二条</w:t>
      </w:r>
      <w:r w:rsidRPr="00EA62D6">
        <w:rPr>
          <w:rFonts w:hAnsi="宋体"/>
          <w:b/>
          <w:bCs/>
          <w:sz w:val="28"/>
          <w:szCs w:val="28"/>
        </w:rPr>
        <w:t xml:space="preserve"> </w:t>
      </w:r>
      <w:bookmarkStart w:id="20" w:name="_Toc476213813"/>
      <w:bookmarkStart w:id="21" w:name="_Toc496620505"/>
      <w:bookmarkStart w:id="22" w:name="_Toc480991163"/>
      <w:bookmarkStart w:id="23" w:name="_Toc474767454"/>
      <w:bookmarkStart w:id="24" w:name="_Toc479863041"/>
      <w:bookmarkStart w:id="25" w:name="_Toc474769069"/>
      <w:bookmarkStart w:id="26" w:name="_Toc474767592"/>
      <w:bookmarkStart w:id="27" w:name="_Toc482011758"/>
      <w:bookmarkStart w:id="28" w:name="_Toc481052093"/>
      <w:bookmarkStart w:id="29" w:name="_Toc498070910"/>
      <w:bookmarkStart w:id="30" w:name="_Toc479868117"/>
      <w:bookmarkStart w:id="31" w:name="_Toc475691893"/>
      <w:bookmarkStart w:id="32" w:name="_Toc496268825"/>
      <w:bookmarkStart w:id="33" w:name="_Toc488843960"/>
      <w:bookmarkStart w:id="34" w:name="_Toc489017185"/>
      <w:r w:rsidRPr="00EA62D6">
        <w:rPr>
          <w:rFonts w:ascii="仿宋_GB2312" w:eastAsia="仿宋_GB2312" w:cs="仿宋_GB2312" w:hint="eastAsia"/>
          <w:sz w:val="32"/>
          <w:szCs w:val="32"/>
        </w:rPr>
        <w:t>执行珠宝首饰评估业务，应当编制评估计划</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EA62D6">
        <w:rPr>
          <w:rFonts w:ascii="仿宋_GB2312" w:eastAsia="仿宋_GB2312" w:cs="仿宋_GB2312" w:hint="eastAsia"/>
          <w:sz w:val="32"/>
          <w:szCs w:val="32"/>
        </w:rPr>
        <w:t>。</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评估计划是指评估工作预案，是工作质量、工作进度、必要的工作时间和工作效能的协调统筹方案。</w:t>
      </w:r>
      <w:bookmarkStart w:id="35" w:name="_Toc474767455"/>
      <w:r w:rsidRPr="00EA62D6">
        <w:rPr>
          <w:rFonts w:ascii="仿宋_GB2312" w:eastAsia="仿宋_GB2312" w:cs="仿宋_GB2312" w:hint="eastAsia"/>
          <w:sz w:val="32"/>
          <w:szCs w:val="32"/>
        </w:rPr>
        <w:t>包括珠宝评估业务实施的主要过程及时间进度、珠宝评估专业人员安排等。</w:t>
      </w:r>
      <w:bookmarkEnd w:id="35"/>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评估计划应当根据具体工作的推进效果而适当调整和修改。</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第十三条</w:t>
      </w:r>
      <w:r w:rsidRPr="00EA62D6">
        <w:rPr>
          <w:rFonts w:hAnsi="宋体"/>
          <w:b/>
          <w:bCs/>
          <w:sz w:val="28"/>
          <w:szCs w:val="28"/>
        </w:rPr>
        <w:t xml:space="preserve"> </w:t>
      </w:r>
      <w:bookmarkStart w:id="36" w:name="_Toc476213814"/>
      <w:bookmarkStart w:id="37" w:name="_Toc481052094"/>
      <w:bookmarkStart w:id="38" w:name="_Toc474767593"/>
      <w:bookmarkStart w:id="39" w:name="_Toc496620506"/>
      <w:bookmarkStart w:id="40" w:name="_Toc496268826"/>
      <w:bookmarkStart w:id="41" w:name="_Toc479863042"/>
      <w:bookmarkStart w:id="42" w:name="_Toc479868118"/>
      <w:bookmarkStart w:id="43" w:name="_Toc489017186"/>
      <w:bookmarkStart w:id="44" w:name="_Toc474769070"/>
      <w:bookmarkStart w:id="45" w:name="_Toc480991164"/>
      <w:bookmarkStart w:id="46" w:name="_Toc482011759"/>
      <w:bookmarkStart w:id="47" w:name="_Toc498070911"/>
      <w:bookmarkStart w:id="48" w:name="_Toc488843961"/>
      <w:bookmarkStart w:id="49" w:name="_Toc474767456"/>
      <w:bookmarkStart w:id="50" w:name="_Toc475691894"/>
      <w:r w:rsidRPr="00EA62D6">
        <w:rPr>
          <w:rFonts w:ascii="仿宋_GB2312" w:eastAsia="仿宋_GB2312" w:cs="仿宋_GB2312" w:hint="eastAsia"/>
          <w:sz w:val="32"/>
          <w:szCs w:val="32"/>
        </w:rPr>
        <w:t>执行单体珠宝首饰评估业务，应当履行</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A62D6">
        <w:rPr>
          <w:rFonts w:ascii="仿宋_GB2312" w:eastAsia="仿宋_GB2312" w:cs="仿宋_GB2312" w:hint="eastAsia"/>
          <w:sz w:val="32"/>
          <w:szCs w:val="32"/>
        </w:rPr>
        <w:t>实物核查、鉴定、品质分级及描述记录等下列程序：</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（一）实物核查。核查评估对象实物状态，完成委托样品确认或交接，如实记录；</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（二）鉴定及鉴定复核。</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1.</w:t>
      </w:r>
      <w:r w:rsidRPr="00EA62D6">
        <w:rPr>
          <w:rFonts w:ascii="仿宋_GB2312" w:eastAsia="仿宋_GB2312" w:cs="仿宋_GB2312" w:hint="eastAsia"/>
          <w:sz w:val="32"/>
          <w:szCs w:val="32"/>
        </w:rPr>
        <w:t>对评估对象进行无损鉴定，根据</w:t>
      </w:r>
      <w:r w:rsidRPr="00EA62D6">
        <w:rPr>
          <w:rFonts w:ascii="仿宋_GB2312" w:eastAsia="仿宋_GB2312" w:cs="仿宋_GB2312"/>
          <w:sz w:val="32"/>
          <w:szCs w:val="32"/>
        </w:rPr>
        <w:t>GB/T 16552</w:t>
      </w:r>
      <w:r w:rsidRPr="00EA62D6">
        <w:rPr>
          <w:rFonts w:ascii="仿宋_GB2312" w:eastAsia="仿宋_GB2312" w:cs="仿宋_GB2312" w:hint="eastAsia"/>
          <w:sz w:val="32"/>
          <w:szCs w:val="32"/>
        </w:rPr>
        <w:t>、</w:t>
      </w:r>
      <w:r w:rsidRPr="00EA62D6">
        <w:rPr>
          <w:rFonts w:ascii="仿宋_GB2312" w:eastAsia="仿宋_GB2312" w:cs="仿宋_GB2312"/>
          <w:sz w:val="32"/>
          <w:szCs w:val="32"/>
        </w:rPr>
        <w:t>GB/T 16553</w:t>
      </w:r>
      <w:r w:rsidRPr="00EA62D6">
        <w:rPr>
          <w:rFonts w:ascii="仿宋_GB2312" w:eastAsia="仿宋_GB2312" w:cs="仿宋_GB2312" w:hint="eastAsia"/>
          <w:sz w:val="32"/>
          <w:szCs w:val="32"/>
        </w:rPr>
        <w:t>等相关标准确定珠宝种属类别，根据</w:t>
      </w:r>
      <w:r w:rsidRPr="00EA62D6">
        <w:rPr>
          <w:rFonts w:ascii="仿宋_GB2312" w:eastAsia="仿宋_GB2312" w:cs="仿宋_GB2312"/>
          <w:sz w:val="32"/>
          <w:szCs w:val="32"/>
        </w:rPr>
        <w:t>GB 11887</w:t>
      </w:r>
      <w:r w:rsidRPr="00EA62D6">
        <w:rPr>
          <w:rFonts w:ascii="仿宋_GB2312" w:eastAsia="仿宋_GB2312" w:cs="仿宋_GB2312" w:hint="eastAsia"/>
          <w:sz w:val="32"/>
          <w:szCs w:val="32"/>
        </w:rPr>
        <w:t>等相关标准确定贵金属种类和含量。</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2.</w:t>
      </w:r>
      <w:r w:rsidRPr="00EA62D6">
        <w:rPr>
          <w:rFonts w:ascii="仿宋_GB2312" w:eastAsia="仿宋_GB2312" w:cs="仿宋_GB2312" w:hint="eastAsia"/>
          <w:sz w:val="32"/>
          <w:szCs w:val="32"/>
        </w:rPr>
        <w:t>特殊情况下的样品鉴定或有损鉴定需征得所有权人或委托人的书面许可。</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3.</w:t>
      </w:r>
      <w:r w:rsidRPr="00EA62D6">
        <w:rPr>
          <w:rFonts w:ascii="仿宋_GB2312" w:eastAsia="仿宋_GB2312" w:cs="仿宋_GB2312" w:hint="eastAsia"/>
          <w:sz w:val="32"/>
          <w:szCs w:val="32"/>
        </w:rPr>
        <w:t>珠宝评估专业人员利用合法的国内珠宝质检机构和国际公认的鉴定机构出具的鉴定分级结论，应当进行必要的分析判断。</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4.</w:t>
      </w:r>
      <w:r w:rsidRPr="00EA62D6">
        <w:rPr>
          <w:rFonts w:ascii="仿宋_GB2312" w:eastAsia="仿宋_GB2312" w:cs="仿宋_GB2312" w:hint="eastAsia"/>
          <w:sz w:val="32"/>
          <w:szCs w:val="32"/>
        </w:rPr>
        <w:t>对疑难样品或存疑样品，与委托人沟通后，进行样品送检。</w:t>
      </w:r>
    </w:p>
    <w:p w:rsidR="000F4C1C" w:rsidRPr="00EA62D6" w:rsidRDefault="000F4C1C" w:rsidP="002F1C23">
      <w:pPr>
        <w:pStyle w:val="a3"/>
        <w:spacing w:line="360" w:lineRule="auto"/>
        <w:ind w:firstLine="31680"/>
        <w:rPr>
          <w:rFonts w:ascii="仿宋_GB2312" w:eastAsia="仿宋_GB2312" w:cs="仿宋_GB2312"/>
          <w:sz w:val="32"/>
          <w:szCs w:val="32"/>
        </w:rPr>
      </w:pPr>
      <w:r w:rsidRPr="00EA62D6">
        <w:rPr>
          <w:rFonts w:ascii="仿宋_GB2312" w:eastAsia="仿宋_GB2312" w:cs="仿宋_GB2312" w:hint="eastAsia"/>
          <w:sz w:val="32"/>
          <w:szCs w:val="32"/>
        </w:rPr>
        <w:t>（三）品质分级和价值分析。采用相应的国家标准及行业标准等，对评估对象进行品质分级和价值分析。如果没有相应的国家标准及行业分级标准，可以参照国内外市场通用的分级体系。</w:t>
      </w:r>
      <w:r w:rsidRPr="00EA62D6">
        <w:rPr>
          <w:rFonts w:ascii="仿宋_GB2312" w:eastAsia="仿宋_GB2312" w:cs="仿宋_GB2312"/>
          <w:sz w:val="32"/>
          <w:szCs w:val="32"/>
        </w:rPr>
        <w:t xml:space="preserve"> </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（四）描述记录。根据评估对象种类，对评估对象的品质分级及其价值分析等进行描述记录（参照附</w:t>
      </w:r>
      <w:r w:rsidRPr="00EA62D6">
        <w:rPr>
          <w:rFonts w:ascii="仿宋_GB2312" w:eastAsia="仿宋_GB2312" w:cs="仿宋_GB2312"/>
          <w:sz w:val="32"/>
          <w:szCs w:val="32"/>
        </w:rPr>
        <w:t>1</w:t>
      </w:r>
      <w:r w:rsidRPr="00EA62D6">
        <w:rPr>
          <w:rFonts w:ascii="仿宋_GB2312" w:eastAsia="仿宋_GB2312" w:cs="仿宋_GB2312" w:hint="eastAsia"/>
          <w:sz w:val="32"/>
          <w:szCs w:val="32"/>
        </w:rPr>
        <w:t>）。描述方式包括但不限于文字、表格、图示、照片等。</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（五）若评估对象实物缺失、残损，核查条件受限等情形，应当根据法律法规要求、依据有效历史信息资料，由珠宝评估专业人员确定是否执行假设条件下的评估工作，并在评估报告中予以披露。</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第十四条</w:t>
      </w:r>
      <w:r w:rsidRPr="00EA62D6">
        <w:rPr>
          <w:rFonts w:hAnsi="宋体"/>
          <w:b/>
          <w:bCs/>
          <w:sz w:val="28"/>
          <w:szCs w:val="28"/>
        </w:rPr>
        <w:t xml:space="preserve"> </w:t>
      </w:r>
      <w:r w:rsidRPr="00EA62D6">
        <w:rPr>
          <w:rFonts w:ascii="仿宋_GB2312" w:eastAsia="仿宋_GB2312" w:cs="仿宋_GB2312" w:hint="eastAsia"/>
          <w:sz w:val="32"/>
          <w:szCs w:val="32"/>
        </w:rPr>
        <w:t>批量珠宝首饰评估是在单体珠宝首饰鉴定分级等工作基础上，对具同质化的珠宝首饰组合或批次，进行合理的系统性评估。执行批量珠宝首饰评估业务，应当履行下列程序：</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（一）批量珠宝首饰核查。根据委托人确认的珠宝首饰资产清单进行核查，确认珠宝首饰的实物存在状态，尽可能收集和核实评估对象的相关信息。通常包括：</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1.</w:t>
      </w:r>
      <w:r w:rsidRPr="00EA62D6">
        <w:rPr>
          <w:rFonts w:ascii="仿宋_GB2312" w:eastAsia="仿宋_GB2312" w:cs="仿宋_GB2312" w:hint="eastAsia"/>
          <w:sz w:val="32"/>
          <w:szCs w:val="32"/>
        </w:rPr>
        <w:t>观察珠宝首饰的存放状况，了解管理情况，并记录；</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2.</w:t>
      </w:r>
      <w:r w:rsidRPr="00EA62D6">
        <w:rPr>
          <w:rFonts w:ascii="仿宋_GB2312" w:eastAsia="仿宋_GB2312" w:cs="仿宋_GB2312" w:hint="eastAsia"/>
          <w:sz w:val="32"/>
          <w:szCs w:val="32"/>
        </w:rPr>
        <w:t>核查珠宝首饰实物数量和品种。根据资产清单进行现场核查盘点。若评估基准日与现场核查工作日不一致，且实物处于流通状态，可根据委托人提供的流转数据，进行评估基准日与现场核查工作日之间的数据核对，分析并推算评估基准日资产数量，若有偏差，判断其合理性，并记录；</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3.</w:t>
      </w:r>
      <w:r w:rsidRPr="00EA62D6">
        <w:rPr>
          <w:rFonts w:ascii="仿宋_GB2312" w:eastAsia="仿宋_GB2312" w:cs="仿宋_GB2312" w:hint="eastAsia"/>
          <w:sz w:val="32"/>
          <w:szCs w:val="32"/>
        </w:rPr>
        <w:t>收集凭证。对委托人提供的流转数据凭证，进行核查确认，采集资料，记录存档；</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4.</w:t>
      </w:r>
      <w:r w:rsidRPr="00EA62D6">
        <w:rPr>
          <w:rFonts w:ascii="仿宋_GB2312" w:eastAsia="仿宋_GB2312" w:cs="仿宋_GB2312" w:hint="eastAsia"/>
          <w:sz w:val="32"/>
          <w:szCs w:val="32"/>
        </w:rPr>
        <w:t>确定评估对象及评估范围。根据资产清查情况，由评估工作各方实际盘点人员，在资产盘点记录上签字确认。</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（二）批量珠宝首饰的鉴定分类及描述记录，通常包括：</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1.</w:t>
      </w:r>
      <w:r w:rsidRPr="00EA62D6">
        <w:rPr>
          <w:rFonts w:ascii="仿宋_GB2312" w:eastAsia="仿宋_GB2312" w:cs="仿宋_GB2312" w:hint="eastAsia"/>
          <w:sz w:val="32"/>
          <w:szCs w:val="32"/>
        </w:rPr>
        <w:t>鉴定及鉴定复核。在对珠宝首饰实物进行清点核查的过程中，珠宝评估专业人员应当通过初步鉴定和专业判断，确定鉴定及鉴定复核的工作重点；</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2.</w:t>
      </w:r>
      <w:r w:rsidRPr="00EA62D6">
        <w:rPr>
          <w:rFonts w:ascii="仿宋_GB2312" w:eastAsia="仿宋_GB2312" w:cs="仿宋_GB2312" w:hint="eastAsia"/>
          <w:sz w:val="32"/>
          <w:szCs w:val="32"/>
        </w:rPr>
        <w:t>分类。批量珠宝首饰可以依据种属、状态（如成品、裸石、原料等）、品质特征、工艺特征等因素进行分类；</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sz w:val="32"/>
          <w:szCs w:val="32"/>
        </w:rPr>
        <w:t>3.</w:t>
      </w:r>
      <w:r w:rsidRPr="00EA62D6">
        <w:rPr>
          <w:rFonts w:ascii="仿宋_GB2312" w:eastAsia="仿宋_GB2312" w:cs="仿宋_GB2312" w:hint="eastAsia"/>
          <w:sz w:val="32"/>
          <w:szCs w:val="32"/>
        </w:rPr>
        <w:t>分类描述记录。根据珠宝首饰实物确定描述重点（参照附表）。描述方式可采用文字、表格、图示、照片等。</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对特殊的珠宝首饰</w:t>
      </w:r>
      <w:r w:rsidRPr="00EA62D6">
        <w:rPr>
          <w:rFonts w:ascii="仿宋_GB2312" w:eastAsia="仿宋_GB2312" w:cs="仿宋_GB2312"/>
          <w:sz w:val="32"/>
          <w:szCs w:val="32"/>
        </w:rPr>
        <w:t>,</w:t>
      </w:r>
      <w:r w:rsidRPr="00EA62D6">
        <w:rPr>
          <w:rFonts w:ascii="仿宋_GB2312" w:eastAsia="仿宋_GB2312" w:cs="仿宋_GB2312" w:hint="eastAsia"/>
          <w:sz w:val="32"/>
          <w:szCs w:val="32"/>
        </w:rPr>
        <w:t>以及单体价值较高的珠宝首饰，可根据品种、特殊品质特征、特定作者、特别产地等</w:t>
      </w:r>
      <w:r w:rsidRPr="00EA62D6">
        <w:rPr>
          <w:rFonts w:ascii="仿宋_GB2312" w:eastAsia="仿宋_GB2312" w:cs="仿宋_GB2312"/>
          <w:sz w:val="32"/>
          <w:szCs w:val="32"/>
        </w:rPr>
        <w:t>,</w:t>
      </w:r>
      <w:r w:rsidRPr="00EA62D6">
        <w:rPr>
          <w:rFonts w:ascii="仿宋_GB2312" w:eastAsia="仿宋_GB2312" w:cs="仿宋_GB2312" w:hint="eastAsia"/>
          <w:sz w:val="32"/>
          <w:szCs w:val="32"/>
        </w:rPr>
        <w:t>进行独立分类和重点描述。</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对鉴定中的疑难样品，及已有鉴定分级证书却仍存疑的样品，与委托人沟通后，进行抽样并送检。</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（三）批量珠宝首饰的价值分析。根据市场情况和分类特点，对珠宝首饰实物进行分类品质分级和价值分析。对价值较高或材质特殊的，应当重点关注和详细记录。</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第十五条</w:t>
      </w:r>
      <w:r w:rsidRPr="00EA62D6">
        <w:rPr>
          <w:rFonts w:hAnsi="宋体"/>
          <w:b/>
          <w:bCs/>
          <w:sz w:val="28"/>
          <w:szCs w:val="28"/>
        </w:rPr>
        <w:t xml:space="preserve"> </w:t>
      </w:r>
      <w:bookmarkStart w:id="51" w:name="_Toc496620507"/>
      <w:bookmarkStart w:id="52" w:name="_Toc481052095"/>
      <w:bookmarkStart w:id="53" w:name="_Toc482011760"/>
      <w:bookmarkStart w:id="54" w:name="_Toc498070912"/>
      <w:bookmarkStart w:id="55" w:name="_Toc488843962"/>
      <w:bookmarkStart w:id="56" w:name="_Toc479868119"/>
      <w:bookmarkStart w:id="57" w:name="_Toc474767594"/>
      <w:bookmarkStart w:id="58" w:name="_Toc480991165"/>
      <w:bookmarkStart w:id="59" w:name="_Toc474769071"/>
      <w:bookmarkStart w:id="60" w:name="_Toc479863043"/>
      <w:bookmarkStart w:id="61" w:name="_Toc496268827"/>
      <w:bookmarkStart w:id="62" w:name="_Toc474767457"/>
      <w:bookmarkStart w:id="63" w:name="_Toc476213815"/>
      <w:bookmarkStart w:id="64" w:name="_Toc475691895"/>
      <w:bookmarkStart w:id="65" w:name="_Toc489017187"/>
      <w:r w:rsidRPr="00EA62D6">
        <w:rPr>
          <w:rFonts w:ascii="仿宋_GB2312" w:eastAsia="仿宋_GB2312" w:cs="仿宋_GB2312" w:hint="eastAsia"/>
          <w:sz w:val="32"/>
          <w:szCs w:val="32"/>
        </w:rPr>
        <w:t>收集评估资料</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EA62D6">
        <w:rPr>
          <w:rFonts w:ascii="仿宋_GB2312" w:eastAsia="仿宋_GB2312" w:cs="仿宋_GB2312" w:hint="eastAsia"/>
          <w:sz w:val="32"/>
          <w:szCs w:val="32"/>
        </w:rPr>
        <w:t>时，应当包括：</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（一）通过各种专业渠道收集市场信息资料，如市场调研记录、相关查询记录、行业资讯、专业报告、专家访谈等。</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（二）珠宝评估专业人员应当对收集的评估资料进行分析、归纳和整理，形成评定估算和编制资产评估报告的依据。</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（三）对于市场不发育、可比交易案例有限的新品种、特殊品种珠宝首饰，由珠宝评估专业人员确定其专业判断依据，并应当在报告中充分披露。</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第十六条</w:t>
      </w:r>
      <w:r w:rsidRPr="00EA62D6">
        <w:rPr>
          <w:rFonts w:hAnsi="宋体"/>
          <w:b/>
          <w:bCs/>
          <w:sz w:val="28"/>
          <w:szCs w:val="28"/>
        </w:rPr>
        <w:t xml:space="preserve"> </w:t>
      </w:r>
      <w:r w:rsidRPr="00EA62D6">
        <w:rPr>
          <w:rFonts w:ascii="仿宋_GB2312" w:eastAsia="仿宋_GB2312" w:cs="仿宋_GB2312" w:hint="eastAsia"/>
          <w:sz w:val="32"/>
          <w:szCs w:val="32"/>
        </w:rPr>
        <w:t>评定估算时，应当考虑：</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（一）根据评估目的，以及不同类型和不同状态的珠宝首饰特征、价值类型、资料收集等情况，选择恰当的评估方法。</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（二）根据珠宝首饰的类型及特点，结合评估基准日市场行情，分析、确定评估参数或评估参数范围。</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批量珠宝首饰的评估参数，应当根据现场工作所进行的分类，分别确定评估参数或评估参数范围。</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（三）批量珠宝首饰估算时，应当依据品种和分类，分别进行合理性分析、判断及审核。</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第十七条</w:t>
      </w:r>
      <w:r w:rsidRPr="00EA62D6">
        <w:rPr>
          <w:rFonts w:hAnsi="宋体"/>
          <w:b/>
          <w:bCs/>
          <w:sz w:val="28"/>
          <w:szCs w:val="28"/>
        </w:rPr>
        <w:t xml:space="preserve"> </w:t>
      </w:r>
      <w:bookmarkStart w:id="66" w:name="_Toc474767459"/>
      <w:bookmarkStart w:id="67" w:name="_Toc474769073"/>
      <w:bookmarkStart w:id="68" w:name="_Toc480991167"/>
      <w:bookmarkStart w:id="69" w:name="_Toc474767596"/>
      <w:bookmarkStart w:id="70" w:name="_Toc481052097"/>
      <w:bookmarkStart w:id="71" w:name="_Toc479863045"/>
      <w:bookmarkStart w:id="72" w:name="_Toc475691897"/>
      <w:bookmarkStart w:id="73" w:name="_Toc498070914"/>
      <w:bookmarkStart w:id="74" w:name="_Toc482011762"/>
      <w:bookmarkStart w:id="75" w:name="_Toc496268829"/>
      <w:bookmarkStart w:id="76" w:name="_Toc479868121"/>
      <w:bookmarkStart w:id="77" w:name="_Toc489017189"/>
      <w:bookmarkStart w:id="78" w:name="_Toc496620509"/>
      <w:bookmarkStart w:id="79" w:name="_Toc476213817"/>
      <w:bookmarkStart w:id="80" w:name="_Toc488843964"/>
      <w:r w:rsidRPr="00EA62D6">
        <w:rPr>
          <w:rFonts w:ascii="仿宋_GB2312" w:eastAsia="仿宋_GB2312" w:cs="仿宋_GB2312" w:hint="eastAsia"/>
          <w:sz w:val="32"/>
          <w:szCs w:val="32"/>
        </w:rPr>
        <w:t>编制出具评估报告，应当根据法律法规、委托人要求、评估对象特点、评估工作复杂程度等，根据《资产评估执业准则</w:t>
      </w:r>
      <w:r w:rsidRPr="00EA62D6">
        <w:rPr>
          <w:rFonts w:ascii="仿宋_GB2312" w:eastAsia="仿宋_GB2312" w:cs="Times New Roman"/>
          <w:sz w:val="32"/>
          <w:szCs w:val="32"/>
        </w:rPr>
        <w:t>——</w:t>
      </w:r>
      <w:r w:rsidRPr="00EA62D6">
        <w:rPr>
          <w:rFonts w:ascii="仿宋_GB2312" w:eastAsia="仿宋_GB2312" w:cs="仿宋_GB2312" w:hint="eastAsia"/>
          <w:sz w:val="32"/>
          <w:szCs w:val="32"/>
        </w:rPr>
        <w:t>资产评估报告》《资产评估执业准则</w:t>
      </w:r>
      <w:r w:rsidRPr="00EA62D6">
        <w:rPr>
          <w:rFonts w:ascii="仿宋_GB2312" w:eastAsia="仿宋_GB2312" w:cs="Times New Roman"/>
          <w:sz w:val="32"/>
          <w:szCs w:val="32"/>
        </w:rPr>
        <w:t>——</w:t>
      </w:r>
      <w:r w:rsidRPr="00EA62D6">
        <w:rPr>
          <w:rFonts w:ascii="仿宋_GB2312" w:eastAsia="仿宋_GB2312" w:cs="仿宋_GB2312" w:hint="eastAsia"/>
          <w:sz w:val="32"/>
          <w:szCs w:val="32"/>
        </w:rPr>
        <w:t>珠宝首饰》确定评估报告的形式、内容和详略程度</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EA62D6">
        <w:rPr>
          <w:rFonts w:ascii="仿宋_GB2312" w:eastAsia="仿宋_GB2312" w:cs="仿宋_GB2312" w:hint="eastAsia"/>
          <w:sz w:val="32"/>
          <w:szCs w:val="32"/>
        </w:rPr>
        <w:t>。</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（一）珠宝评估专业人员应当在评定、估算形成评估结论后，编制初步评估报告。</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评估报告应当以珠宝鉴定和品质分级为基础，体现珠宝评估工作的专业性，如实表述珠宝首饰实物鉴定、品质特点、价值特征等；</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评估报告除对评估背景、评估项目情况进行表述外，还应当对评估过程中发现的，可能影响评估结论的重大事项进行披露。</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（二）对初步评估报告进行内部审核，包括评估报告行文、附件等。</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三）资产评估机构出具评估报告前，在不影响对评估结论进行独立判断的前提下，可以与委托人或者委托人同意的其他相关当事人就资产评估报告有关内容进行沟通，对沟通情况进行独立分析，并决定是否对评估报告进行调整。</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（四）出具提交的评估报告应当由至少两名承办该项业务的珠宝评估专业人员签名并加盖资产评估机构印章。</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法定评估业务的评估报告应当由至少两名承办该项业务的资产评估师（珠宝）签名并加盖资产评估机构印章。</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第十八条</w:t>
      </w:r>
      <w:r w:rsidRPr="00EA62D6">
        <w:rPr>
          <w:rFonts w:hAnsi="宋体"/>
          <w:b/>
          <w:bCs/>
          <w:sz w:val="28"/>
          <w:szCs w:val="28"/>
        </w:rPr>
        <w:t xml:space="preserve"> </w:t>
      </w:r>
      <w:r w:rsidRPr="00EA62D6">
        <w:rPr>
          <w:rFonts w:ascii="仿宋_GB2312" w:eastAsia="仿宋_GB2312" w:cs="仿宋_GB2312" w:hint="eastAsia"/>
          <w:sz w:val="32"/>
          <w:szCs w:val="32"/>
        </w:rPr>
        <w:t>根据《资产评估执业准则</w:t>
      </w:r>
      <w:r w:rsidRPr="00EA62D6">
        <w:rPr>
          <w:rFonts w:ascii="仿宋_GB2312" w:eastAsia="仿宋_GB2312" w:cs="Times New Roman"/>
          <w:sz w:val="32"/>
          <w:szCs w:val="32"/>
        </w:rPr>
        <w:t>——</w:t>
      </w:r>
      <w:r w:rsidRPr="00EA62D6">
        <w:rPr>
          <w:rFonts w:ascii="仿宋_GB2312" w:eastAsia="仿宋_GB2312" w:cs="仿宋_GB2312" w:hint="eastAsia"/>
          <w:sz w:val="32"/>
          <w:szCs w:val="32"/>
        </w:rPr>
        <w:t>资产评估档案》的要求，形成珠宝首饰评估档案。通常包括：</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（一）工作底稿。包括评估过程使用的资料，如往来函件、备忘录，以及评估过程产生的数据和图片，如现场工作、鉴定资料、市场调研、价值分析估算所形成的数据、意见或结论等。</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（二）评估报告及其他相关资料。</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ascii="仿宋_GB2312" w:eastAsia="仿宋_GB2312" w:cs="仿宋_GB2312" w:hint="eastAsia"/>
          <w:sz w:val="32"/>
          <w:szCs w:val="32"/>
        </w:rPr>
        <w:t>纳入珠宝首饰评估档案的评估报告应当包括初步珠宝首饰评估报告和正式珠宝首饰评估报告。资产评估委托合同、评估报告应当形成纸质文档，其他相关资料可以是纸质文档、电子文档或者其他介质形式的文档，以及实物样品等。</w:t>
      </w:r>
    </w:p>
    <w:p w:rsidR="000F4C1C" w:rsidRPr="00EA62D6" w:rsidRDefault="000F4C1C">
      <w:pPr>
        <w:spacing w:before="240" w:after="240" w:line="480" w:lineRule="auto"/>
        <w:jc w:val="center"/>
        <w:rPr>
          <w:rFonts w:ascii="黑体" w:eastAsia="黑体" w:hAnsi="黑体" w:cs="Times New Roman"/>
          <w:sz w:val="32"/>
          <w:szCs w:val="32"/>
        </w:rPr>
      </w:pPr>
      <w:r w:rsidRPr="00EA62D6">
        <w:rPr>
          <w:rFonts w:ascii="黑体" w:eastAsia="黑体" w:hAnsi="黑体" w:cs="黑体" w:hint="eastAsia"/>
          <w:sz w:val="32"/>
          <w:szCs w:val="32"/>
        </w:rPr>
        <w:t>第五章</w:t>
      </w:r>
      <w:r w:rsidRPr="00EA62D6">
        <w:rPr>
          <w:rFonts w:ascii="黑体" w:eastAsia="黑体" w:hAnsi="黑体" w:cs="黑体"/>
          <w:sz w:val="32"/>
          <w:szCs w:val="32"/>
        </w:rPr>
        <w:t xml:space="preserve"> </w:t>
      </w:r>
      <w:r w:rsidRPr="00EA62D6">
        <w:rPr>
          <w:rFonts w:ascii="黑体" w:eastAsia="黑体" w:hAnsi="黑体" w:cs="黑体" w:hint="eastAsia"/>
          <w:sz w:val="32"/>
          <w:szCs w:val="32"/>
        </w:rPr>
        <w:t>附则</w:t>
      </w:r>
    </w:p>
    <w:p w:rsidR="000F4C1C" w:rsidRPr="00EA62D6" w:rsidRDefault="000F4C1C" w:rsidP="002F1C23">
      <w:pPr>
        <w:pStyle w:val="a3"/>
        <w:spacing w:line="360" w:lineRule="auto"/>
        <w:ind w:firstLine="31680"/>
        <w:rPr>
          <w:rFonts w:ascii="仿宋_GB2312" w:eastAsia="仿宋_GB2312" w:cs="Times New Roman"/>
          <w:sz w:val="32"/>
          <w:szCs w:val="32"/>
        </w:rPr>
      </w:pPr>
      <w:r w:rsidRPr="00EA62D6">
        <w:rPr>
          <w:rFonts w:hAnsi="宋体" w:hint="eastAsia"/>
          <w:b/>
          <w:bCs/>
          <w:sz w:val="28"/>
          <w:szCs w:val="28"/>
        </w:rPr>
        <w:t>第十九条</w:t>
      </w:r>
      <w:r w:rsidRPr="00EA62D6">
        <w:rPr>
          <w:rFonts w:hAnsi="宋体"/>
          <w:b/>
          <w:bCs/>
          <w:sz w:val="28"/>
          <w:szCs w:val="28"/>
        </w:rPr>
        <w:t xml:space="preserve"> </w:t>
      </w:r>
      <w:r w:rsidRPr="00EA62D6">
        <w:rPr>
          <w:rFonts w:ascii="仿宋_GB2312" w:eastAsia="仿宋_GB2312" w:cs="仿宋_GB2312" w:hint="eastAsia"/>
          <w:sz w:val="32"/>
          <w:szCs w:val="32"/>
        </w:rPr>
        <w:t>本指导意见自</w:t>
      </w:r>
      <w:r w:rsidRPr="00EA62D6">
        <w:rPr>
          <w:rFonts w:ascii="仿宋_GB2312" w:eastAsia="仿宋_GB2312" w:cs="仿宋_GB2312"/>
          <w:sz w:val="32"/>
          <w:szCs w:val="32"/>
        </w:rPr>
        <w:t>201</w:t>
      </w:r>
      <w:r>
        <w:rPr>
          <w:rFonts w:ascii="仿宋_GB2312" w:eastAsia="仿宋_GB2312" w:cs="仿宋_GB2312"/>
          <w:sz w:val="32"/>
          <w:szCs w:val="32"/>
        </w:rPr>
        <w:t>9</w:t>
      </w:r>
      <w:r w:rsidRPr="00EA62D6">
        <w:rPr>
          <w:rFonts w:ascii="仿宋_GB2312" w:eastAsia="仿宋_GB2312" w:cs="仿宋_GB2312" w:hint="eastAsia"/>
          <w:sz w:val="32"/>
          <w:szCs w:val="32"/>
        </w:rPr>
        <w:t>年</w:t>
      </w:r>
      <w:r w:rsidRPr="00EA62D6">
        <w:rPr>
          <w:rFonts w:ascii="仿宋_GB2312" w:eastAsia="仿宋_GB2312" w:cs="仿宋_GB2312"/>
          <w:sz w:val="32"/>
          <w:szCs w:val="32"/>
        </w:rPr>
        <w:t xml:space="preserve">  </w:t>
      </w:r>
      <w:r w:rsidRPr="00EA62D6">
        <w:rPr>
          <w:rFonts w:ascii="仿宋_GB2312" w:eastAsia="仿宋_GB2312" w:cs="仿宋_GB2312" w:hint="eastAsia"/>
          <w:sz w:val="32"/>
          <w:szCs w:val="32"/>
        </w:rPr>
        <w:t>月</w:t>
      </w:r>
      <w:r w:rsidRPr="00EA62D6">
        <w:rPr>
          <w:rFonts w:ascii="仿宋_GB2312" w:eastAsia="仿宋_GB2312" w:cs="仿宋_GB2312"/>
          <w:sz w:val="32"/>
          <w:szCs w:val="32"/>
        </w:rPr>
        <w:t xml:space="preserve">  </w:t>
      </w:r>
      <w:r w:rsidRPr="00EA62D6">
        <w:rPr>
          <w:rFonts w:ascii="仿宋_GB2312" w:eastAsia="仿宋_GB2312" w:cs="仿宋_GB2312" w:hint="eastAsia"/>
          <w:sz w:val="32"/>
          <w:szCs w:val="32"/>
        </w:rPr>
        <w:t>日起实施。</w:t>
      </w:r>
    </w:p>
    <w:p w:rsidR="000F4C1C" w:rsidRPr="00EA62D6" w:rsidRDefault="000F4C1C" w:rsidP="002F1C23">
      <w:pPr>
        <w:widowControl/>
        <w:ind w:leftChars="300" w:left="31680"/>
        <w:jc w:val="left"/>
        <w:rPr>
          <w:rFonts w:cs="Times New Roman"/>
          <w:sz w:val="28"/>
          <w:szCs w:val="28"/>
        </w:rPr>
      </w:pPr>
      <w:r w:rsidRPr="00EA62D6">
        <w:rPr>
          <w:rFonts w:ascii="仿宋_GB2312" w:eastAsia="仿宋_GB2312" w:hAnsi="Times New Roman" w:cs="仿宋_GB2312" w:hint="eastAsia"/>
          <w:kern w:val="0"/>
          <w:sz w:val="32"/>
          <w:szCs w:val="32"/>
        </w:rPr>
        <w:t>附表：珠宝首饰描述的重点内容</w:t>
      </w:r>
      <w:r w:rsidRPr="00EA62D6">
        <w:rPr>
          <w:rFonts w:cs="Times New Roman"/>
          <w:sz w:val="28"/>
          <w:szCs w:val="28"/>
        </w:rPr>
        <w:br w:type="page"/>
      </w:r>
    </w:p>
    <w:p w:rsidR="000F4C1C" w:rsidRPr="00EA62D6" w:rsidRDefault="000F4C1C">
      <w:pPr>
        <w:widowControl/>
        <w:jc w:val="left"/>
        <w:rPr>
          <w:rFonts w:ascii="仿宋_GB2312" w:eastAsia="仿宋_GB2312" w:hAnsi="Times New Roman" w:cs="Times New Roman"/>
          <w:kern w:val="0"/>
          <w:sz w:val="32"/>
          <w:szCs w:val="32"/>
        </w:rPr>
      </w:pPr>
      <w:r w:rsidRPr="00EA62D6">
        <w:rPr>
          <w:rFonts w:ascii="仿宋_GB2312" w:eastAsia="仿宋_GB2312" w:hAnsi="Times New Roman" w:cs="仿宋_GB2312" w:hint="eastAsia"/>
          <w:kern w:val="0"/>
          <w:sz w:val="32"/>
          <w:szCs w:val="32"/>
        </w:rPr>
        <w:t>附</w:t>
      </w:r>
      <w:r>
        <w:rPr>
          <w:rFonts w:ascii="仿宋_GB2312" w:eastAsia="仿宋_GB2312" w:hAnsi="Times New Roman" w:cs="仿宋_GB2312" w:hint="eastAsia"/>
          <w:kern w:val="0"/>
          <w:sz w:val="32"/>
          <w:szCs w:val="32"/>
        </w:rPr>
        <w:t>表</w:t>
      </w:r>
    </w:p>
    <w:p w:rsidR="000F4C1C" w:rsidRPr="00EA62D6" w:rsidRDefault="000F4C1C">
      <w:pPr>
        <w:pStyle w:val="a3"/>
        <w:tabs>
          <w:tab w:val="center" w:pos="4153"/>
          <w:tab w:val="left" w:pos="6530"/>
        </w:tabs>
        <w:spacing w:before="240" w:after="240" w:line="360" w:lineRule="auto"/>
        <w:ind w:firstLineChars="0" w:firstLine="0"/>
        <w:jc w:val="left"/>
        <w:rPr>
          <w:rFonts w:ascii="仿宋_GB2312" w:eastAsia="仿宋_GB2312" w:cs="Times New Roman"/>
          <w:sz w:val="32"/>
          <w:szCs w:val="32"/>
        </w:rPr>
      </w:pPr>
      <w:r w:rsidRPr="00EA62D6">
        <w:rPr>
          <w:rFonts w:ascii="仿宋_GB2312" w:eastAsia="仿宋_GB2312" w:cs="Times New Roman"/>
          <w:sz w:val="32"/>
          <w:szCs w:val="32"/>
        </w:rPr>
        <w:tab/>
      </w:r>
      <w:r w:rsidRPr="00EA62D6">
        <w:rPr>
          <w:rFonts w:ascii="仿宋_GB2312" w:eastAsia="仿宋_GB2312" w:cs="仿宋_GB2312" w:hint="eastAsia"/>
          <w:sz w:val="32"/>
          <w:szCs w:val="32"/>
        </w:rPr>
        <w:t>珠宝首饰描述的重点内容</w:t>
      </w:r>
      <w:r w:rsidRPr="00EA62D6">
        <w:rPr>
          <w:rFonts w:ascii="仿宋_GB2312" w:eastAsia="仿宋_GB2312" w:cs="Times New Roman"/>
          <w:sz w:val="32"/>
          <w:szCs w:val="32"/>
        </w:rPr>
        <w:tab/>
      </w:r>
    </w:p>
    <w:tbl>
      <w:tblPr>
        <w:tblW w:w="8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46"/>
        <w:gridCol w:w="3544"/>
        <w:gridCol w:w="3282"/>
      </w:tblGrid>
      <w:tr w:rsidR="000F4C1C" w:rsidRPr="005D3D41">
        <w:trPr>
          <w:jc w:val="center"/>
        </w:trPr>
        <w:tc>
          <w:tcPr>
            <w:tcW w:w="1446" w:type="dxa"/>
            <w:vAlign w:val="center"/>
          </w:tcPr>
          <w:p w:rsidR="000F4C1C" w:rsidRPr="00EA62D6" w:rsidRDefault="000F4C1C">
            <w:pPr>
              <w:pStyle w:val="a3"/>
              <w:spacing w:before="156" w:after="156"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评估对象</w:t>
            </w:r>
          </w:p>
        </w:tc>
        <w:tc>
          <w:tcPr>
            <w:tcW w:w="3544" w:type="dxa"/>
            <w:vAlign w:val="center"/>
          </w:tcPr>
          <w:p w:rsidR="000F4C1C" w:rsidRPr="00EA62D6" w:rsidRDefault="000F4C1C">
            <w:pPr>
              <w:pStyle w:val="a3"/>
              <w:spacing w:before="156" w:after="156"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观察描述的重点</w:t>
            </w:r>
          </w:p>
        </w:tc>
        <w:tc>
          <w:tcPr>
            <w:tcW w:w="3282" w:type="dxa"/>
            <w:vAlign w:val="center"/>
          </w:tcPr>
          <w:p w:rsidR="000F4C1C" w:rsidRPr="00EA62D6" w:rsidRDefault="000F4C1C">
            <w:pPr>
              <w:pStyle w:val="a3"/>
              <w:spacing w:before="156" w:after="156"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主要依据</w:t>
            </w:r>
          </w:p>
        </w:tc>
      </w:tr>
      <w:tr w:rsidR="000F4C1C" w:rsidRPr="005D3D41">
        <w:trPr>
          <w:jc w:val="center"/>
        </w:trPr>
        <w:tc>
          <w:tcPr>
            <w:tcW w:w="1446" w:type="dxa"/>
            <w:vAlign w:val="center"/>
          </w:tcPr>
          <w:p w:rsidR="000F4C1C" w:rsidRPr="00EA62D6" w:rsidRDefault="000F4C1C">
            <w:pPr>
              <w:pStyle w:val="a3"/>
              <w:spacing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贵金属</w:t>
            </w:r>
          </w:p>
        </w:tc>
        <w:tc>
          <w:tcPr>
            <w:tcW w:w="3544" w:type="dxa"/>
          </w:tcPr>
          <w:p w:rsidR="000F4C1C" w:rsidRPr="00EA62D6" w:rsidRDefault="000F4C1C" w:rsidP="000F4C1C">
            <w:pPr>
              <w:pStyle w:val="a3"/>
              <w:spacing w:line="360" w:lineRule="auto"/>
              <w:ind w:firstLine="31680"/>
              <w:rPr>
                <w:rFonts w:ascii="仿宋_GB2312" w:eastAsia="仿宋_GB2312" w:hAnsi="宋体" w:cs="Times New Roman"/>
                <w:sz w:val="24"/>
                <w:szCs w:val="24"/>
              </w:rPr>
            </w:pPr>
            <w:r w:rsidRPr="00EA62D6">
              <w:rPr>
                <w:rFonts w:ascii="仿宋_GB2312" w:eastAsia="仿宋_GB2312" w:hAnsi="宋体" w:cs="仿宋_GB2312" w:hint="eastAsia"/>
                <w:sz w:val="24"/>
                <w:szCs w:val="24"/>
              </w:rPr>
              <w:t>质量、标识印记、贵金属含量、工艺质量等</w:t>
            </w:r>
          </w:p>
        </w:tc>
        <w:tc>
          <w:tcPr>
            <w:tcW w:w="3282" w:type="dxa"/>
          </w:tcPr>
          <w:p w:rsidR="000F4C1C" w:rsidRPr="00EA62D6" w:rsidRDefault="000F4C1C">
            <w:pPr>
              <w:pStyle w:val="a3"/>
              <w:spacing w:line="360" w:lineRule="auto"/>
              <w:ind w:firstLineChars="0" w:firstLine="0"/>
              <w:jc w:val="left"/>
              <w:rPr>
                <w:rFonts w:ascii="仿宋_GB2312" w:eastAsia="仿宋_GB2312" w:hAnsi="宋体" w:cs="Times New Roman"/>
                <w:sz w:val="24"/>
                <w:szCs w:val="24"/>
              </w:rPr>
            </w:pPr>
            <w:r w:rsidRPr="00EA62D6">
              <w:rPr>
                <w:rFonts w:ascii="仿宋_GB2312" w:eastAsia="仿宋_GB2312" w:hAnsi="宋体" w:cs="仿宋_GB2312"/>
                <w:sz w:val="24"/>
                <w:szCs w:val="24"/>
              </w:rPr>
              <w:t>GB 11887</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QB/T 2062</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QB/T 4189</w:t>
            </w:r>
            <w:r w:rsidRPr="00EA62D6">
              <w:rPr>
                <w:rFonts w:ascii="仿宋_GB2312" w:eastAsia="仿宋_GB2312" w:hAnsi="宋体" w:cs="仿宋_GB2312" w:hint="eastAsia"/>
                <w:sz w:val="24"/>
                <w:szCs w:val="24"/>
              </w:rPr>
              <w:t>等</w:t>
            </w:r>
          </w:p>
        </w:tc>
      </w:tr>
      <w:tr w:rsidR="000F4C1C" w:rsidRPr="005D3D41">
        <w:trPr>
          <w:jc w:val="center"/>
        </w:trPr>
        <w:tc>
          <w:tcPr>
            <w:tcW w:w="1446" w:type="dxa"/>
            <w:vAlign w:val="center"/>
          </w:tcPr>
          <w:p w:rsidR="000F4C1C" w:rsidRPr="00EA62D6" w:rsidRDefault="000F4C1C">
            <w:pPr>
              <w:pStyle w:val="a3"/>
              <w:spacing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钻石</w:t>
            </w:r>
          </w:p>
        </w:tc>
        <w:tc>
          <w:tcPr>
            <w:tcW w:w="3544" w:type="dxa"/>
          </w:tcPr>
          <w:p w:rsidR="000F4C1C" w:rsidRPr="00EA62D6" w:rsidRDefault="000F4C1C" w:rsidP="000F4C1C">
            <w:pPr>
              <w:pStyle w:val="a3"/>
              <w:spacing w:before="156" w:after="156" w:line="360" w:lineRule="auto"/>
              <w:ind w:firstLine="31680"/>
              <w:rPr>
                <w:rFonts w:ascii="仿宋_GB2312" w:eastAsia="仿宋_GB2312" w:hAnsi="宋体" w:cs="Times New Roman"/>
                <w:sz w:val="24"/>
                <w:szCs w:val="24"/>
              </w:rPr>
            </w:pPr>
            <w:r w:rsidRPr="00EA62D6">
              <w:rPr>
                <w:rFonts w:ascii="仿宋_GB2312" w:eastAsia="仿宋_GB2312" w:hAnsi="宋体" w:cs="仿宋_GB2312" w:hint="eastAsia"/>
                <w:sz w:val="24"/>
                <w:szCs w:val="24"/>
              </w:rPr>
              <w:t>质量、颜色、净度、切工等</w:t>
            </w:r>
          </w:p>
        </w:tc>
        <w:tc>
          <w:tcPr>
            <w:tcW w:w="3282" w:type="dxa"/>
          </w:tcPr>
          <w:p w:rsidR="000F4C1C" w:rsidRPr="00EA62D6" w:rsidRDefault="000F4C1C">
            <w:pPr>
              <w:pStyle w:val="a3"/>
              <w:spacing w:before="156" w:after="156" w:line="360" w:lineRule="auto"/>
              <w:ind w:firstLineChars="0" w:firstLine="0"/>
              <w:jc w:val="left"/>
              <w:rPr>
                <w:rFonts w:ascii="仿宋_GB2312" w:eastAsia="仿宋_GB2312" w:hAnsi="宋体" w:cs="Times New Roman"/>
                <w:sz w:val="24"/>
                <w:szCs w:val="24"/>
              </w:rPr>
            </w:pPr>
            <w:r w:rsidRPr="00EA62D6">
              <w:rPr>
                <w:rFonts w:ascii="仿宋_GB2312" w:eastAsia="仿宋_GB2312" w:hAnsi="宋体" w:cs="仿宋_GB2312"/>
                <w:sz w:val="24"/>
                <w:szCs w:val="24"/>
              </w:rPr>
              <w:t>GB/T 16554</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GB/T 34543</w:t>
            </w:r>
            <w:r w:rsidRPr="00EA62D6">
              <w:rPr>
                <w:rFonts w:ascii="仿宋_GB2312" w:eastAsia="仿宋_GB2312" w:hAnsi="宋体" w:cs="仿宋_GB2312" w:hint="eastAsia"/>
                <w:sz w:val="24"/>
                <w:szCs w:val="24"/>
              </w:rPr>
              <w:t>等</w:t>
            </w:r>
          </w:p>
        </w:tc>
      </w:tr>
      <w:tr w:rsidR="000F4C1C" w:rsidRPr="005D3D41">
        <w:trPr>
          <w:jc w:val="center"/>
        </w:trPr>
        <w:tc>
          <w:tcPr>
            <w:tcW w:w="1446" w:type="dxa"/>
            <w:vAlign w:val="center"/>
          </w:tcPr>
          <w:p w:rsidR="000F4C1C" w:rsidRPr="00EA62D6" w:rsidRDefault="000F4C1C">
            <w:pPr>
              <w:pStyle w:val="a3"/>
              <w:spacing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彩色宝石</w:t>
            </w:r>
          </w:p>
        </w:tc>
        <w:tc>
          <w:tcPr>
            <w:tcW w:w="3544" w:type="dxa"/>
          </w:tcPr>
          <w:p w:rsidR="000F4C1C" w:rsidRPr="00EA62D6" w:rsidRDefault="000F4C1C" w:rsidP="000F4C1C">
            <w:pPr>
              <w:pStyle w:val="a3"/>
              <w:spacing w:line="360" w:lineRule="auto"/>
              <w:ind w:firstLine="31680"/>
              <w:rPr>
                <w:rFonts w:ascii="仿宋_GB2312" w:eastAsia="仿宋_GB2312" w:hAnsi="宋体" w:cs="Times New Roman"/>
                <w:sz w:val="24"/>
                <w:szCs w:val="24"/>
              </w:rPr>
            </w:pPr>
            <w:r w:rsidRPr="00EA62D6">
              <w:rPr>
                <w:rFonts w:ascii="仿宋_GB2312" w:eastAsia="仿宋_GB2312" w:hAnsi="宋体" w:cs="仿宋_GB2312" w:hint="eastAsia"/>
                <w:sz w:val="24"/>
                <w:szCs w:val="24"/>
              </w:rPr>
              <w:t>品种、质量、颜色、光泽、净度、火彩、切工特征等</w:t>
            </w:r>
          </w:p>
        </w:tc>
        <w:tc>
          <w:tcPr>
            <w:tcW w:w="3282" w:type="dxa"/>
          </w:tcPr>
          <w:p w:rsidR="000F4C1C" w:rsidRPr="00EA62D6" w:rsidRDefault="000F4C1C">
            <w:pPr>
              <w:pStyle w:val="a3"/>
              <w:spacing w:line="360" w:lineRule="auto"/>
              <w:ind w:firstLineChars="0" w:firstLine="0"/>
              <w:jc w:val="left"/>
              <w:rPr>
                <w:rFonts w:ascii="仿宋_GB2312" w:eastAsia="仿宋_GB2312" w:hAnsi="宋体" w:cs="Times New Roman"/>
                <w:sz w:val="24"/>
                <w:szCs w:val="24"/>
              </w:rPr>
            </w:pPr>
            <w:r w:rsidRPr="00EA62D6">
              <w:rPr>
                <w:rFonts w:ascii="仿宋_GB2312" w:eastAsia="仿宋_GB2312" w:hAnsi="宋体" w:cs="仿宋_GB2312"/>
                <w:sz w:val="24"/>
                <w:szCs w:val="24"/>
              </w:rPr>
              <w:t>GB/T 32862</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GB/T 32863</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GB/T 34545</w:t>
            </w:r>
            <w:r w:rsidRPr="00EA62D6">
              <w:rPr>
                <w:rFonts w:ascii="仿宋_GB2312" w:eastAsia="仿宋_GB2312" w:hAnsi="宋体" w:cs="仿宋_GB2312" w:hint="eastAsia"/>
                <w:sz w:val="24"/>
                <w:szCs w:val="24"/>
              </w:rPr>
              <w:t>等</w:t>
            </w:r>
          </w:p>
        </w:tc>
      </w:tr>
      <w:tr w:rsidR="000F4C1C" w:rsidRPr="005D3D41">
        <w:trPr>
          <w:jc w:val="center"/>
        </w:trPr>
        <w:tc>
          <w:tcPr>
            <w:tcW w:w="1446" w:type="dxa"/>
            <w:vAlign w:val="center"/>
          </w:tcPr>
          <w:p w:rsidR="000F4C1C" w:rsidRPr="00EA62D6" w:rsidRDefault="000F4C1C">
            <w:pPr>
              <w:pStyle w:val="a3"/>
              <w:spacing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玉石</w:t>
            </w:r>
          </w:p>
        </w:tc>
        <w:tc>
          <w:tcPr>
            <w:tcW w:w="3544" w:type="dxa"/>
          </w:tcPr>
          <w:p w:rsidR="000F4C1C" w:rsidRPr="00EA62D6" w:rsidRDefault="000F4C1C" w:rsidP="000F4C1C">
            <w:pPr>
              <w:pStyle w:val="a3"/>
              <w:spacing w:line="360" w:lineRule="auto"/>
              <w:ind w:firstLine="31680"/>
              <w:rPr>
                <w:rFonts w:ascii="仿宋_GB2312" w:eastAsia="仿宋_GB2312" w:hAnsi="宋体" w:cs="Times New Roman"/>
                <w:sz w:val="24"/>
                <w:szCs w:val="24"/>
              </w:rPr>
            </w:pPr>
            <w:r w:rsidRPr="00EA62D6">
              <w:rPr>
                <w:rFonts w:ascii="仿宋_GB2312" w:eastAsia="仿宋_GB2312" w:hAnsi="宋体" w:cs="仿宋_GB2312" w:hint="eastAsia"/>
                <w:sz w:val="24"/>
                <w:szCs w:val="24"/>
              </w:rPr>
              <w:t>品种、质量、颜色、透明度、结构、质地、净度、工艺等</w:t>
            </w:r>
          </w:p>
        </w:tc>
        <w:tc>
          <w:tcPr>
            <w:tcW w:w="3282" w:type="dxa"/>
          </w:tcPr>
          <w:p w:rsidR="000F4C1C" w:rsidRPr="00EA62D6" w:rsidRDefault="000F4C1C">
            <w:pPr>
              <w:pStyle w:val="a3"/>
              <w:spacing w:line="360" w:lineRule="auto"/>
              <w:ind w:firstLineChars="0" w:firstLine="0"/>
              <w:jc w:val="left"/>
              <w:rPr>
                <w:rFonts w:ascii="仿宋_GB2312" w:eastAsia="仿宋_GB2312" w:hAnsi="宋体" w:cs="Times New Roman"/>
                <w:sz w:val="24"/>
                <w:szCs w:val="24"/>
              </w:rPr>
            </w:pPr>
            <w:r w:rsidRPr="00EA62D6">
              <w:rPr>
                <w:rFonts w:ascii="仿宋_GB2312" w:eastAsia="仿宋_GB2312" w:hAnsi="宋体" w:cs="仿宋_GB2312"/>
                <w:sz w:val="24"/>
                <w:szCs w:val="24"/>
              </w:rPr>
              <w:t>GB/T 23885</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GSB16-3061</w:t>
            </w:r>
            <w:r w:rsidRPr="00EA62D6">
              <w:rPr>
                <w:rFonts w:ascii="仿宋_GB2312" w:eastAsia="仿宋_GB2312" w:hAnsi="宋体" w:cs="仿宋_GB2312" w:hint="eastAsia"/>
                <w:sz w:val="24"/>
                <w:szCs w:val="24"/>
              </w:rPr>
              <w:t>等</w:t>
            </w:r>
          </w:p>
        </w:tc>
      </w:tr>
      <w:tr w:rsidR="000F4C1C" w:rsidRPr="005D3D41">
        <w:trPr>
          <w:jc w:val="center"/>
        </w:trPr>
        <w:tc>
          <w:tcPr>
            <w:tcW w:w="1446" w:type="dxa"/>
            <w:vAlign w:val="center"/>
          </w:tcPr>
          <w:p w:rsidR="000F4C1C" w:rsidRPr="00EA62D6" w:rsidRDefault="000F4C1C">
            <w:pPr>
              <w:pStyle w:val="a3"/>
              <w:spacing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珍珠</w:t>
            </w:r>
          </w:p>
        </w:tc>
        <w:tc>
          <w:tcPr>
            <w:tcW w:w="3544" w:type="dxa"/>
          </w:tcPr>
          <w:p w:rsidR="000F4C1C" w:rsidRPr="00EA62D6" w:rsidRDefault="000F4C1C" w:rsidP="000F4C1C">
            <w:pPr>
              <w:pStyle w:val="a3"/>
              <w:spacing w:line="360" w:lineRule="auto"/>
              <w:ind w:firstLine="31680"/>
              <w:rPr>
                <w:rFonts w:ascii="仿宋_GB2312" w:eastAsia="仿宋_GB2312" w:hAnsi="宋体" w:cs="Times New Roman"/>
                <w:sz w:val="24"/>
                <w:szCs w:val="24"/>
              </w:rPr>
            </w:pPr>
            <w:r w:rsidRPr="00EA62D6">
              <w:rPr>
                <w:rFonts w:ascii="仿宋_GB2312" w:eastAsia="仿宋_GB2312" w:hAnsi="宋体" w:cs="仿宋_GB2312" w:hint="eastAsia"/>
                <w:sz w:val="24"/>
                <w:szCs w:val="24"/>
              </w:rPr>
              <w:t>颜色、大小、形状、光泽、光洁度、珠层厚度、匹配度等</w:t>
            </w:r>
          </w:p>
        </w:tc>
        <w:tc>
          <w:tcPr>
            <w:tcW w:w="3282" w:type="dxa"/>
          </w:tcPr>
          <w:p w:rsidR="000F4C1C" w:rsidRPr="00EA62D6" w:rsidRDefault="000F4C1C">
            <w:pPr>
              <w:pStyle w:val="a3"/>
              <w:spacing w:line="360" w:lineRule="auto"/>
              <w:ind w:firstLineChars="0" w:firstLine="0"/>
              <w:jc w:val="left"/>
              <w:rPr>
                <w:rFonts w:ascii="仿宋_GB2312" w:eastAsia="仿宋_GB2312" w:hAnsi="宋体" w:cs="Times New Roman"/>
                <w:sz w:val="24"/>
                <w:szCs w:val="24"/>
              </w:rPr>
            </w:pPr>
            <w:r w:rsidRPr="00EA62D6">
              <w:rPr>
                <w:rFonts w:ascii="仿宋_GB2312" w:eastAsia="仿宋_GB2312" w:hAnsi="宋体" w:cs="仿宋_GB2312"/>
                <w:sz w:val="24"/>
                <w:szCs w:val="24"/>
              </w:rPr>
              <w:t>GB/T 18781</w:t>
            </w:r>
            <w:r w:rsidRPr="00EA62D6">
              <w:rPr>
                <w:rFonts w:ascii="仿宋_GB2312" w:eastAsia="仿宋_GB2312" w:hAnsi="宋体" w:cs="仿宋_GB2312" w:hint="eastAsia"/>
                <w:sz w:val="24"/>
                <w:szCs w:val="24"/>
              </w:rPr>
              <w:t>等</w:t>
            </w:r>
          </w:p>
        </w:tc>
      </w:tr>
      <w:tr w:rsidR="000F4C1C" w:rsidRPr="005D3D41">
        <w:trPr>
          <w:jc w:val="center"/>
        </w:trPr>
        <w:tc>
          <w:tcPr>
            <w:tcW w:w="1446" w:type="dxa"/>
            <w:vAlign w:val="center"/>
          </w:tcPr>
          <w:p w:rsidR="000F4C1C" w:rsidRPr="00EA62D6" w:rsidRDefault="000F4C1C">
            <w:pPr>
              <w:pStyle w:val="a3"/>
              <w:spacing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镶嵌饰品</w:t>
            </w:r>
          </w:p>
        </w:tc>
        <w:tc>
          <w:tcPr>
            <w:tcW w:w="3544" w:type="dxa"/>
          </w:tcPr>
          <w:p w:rsidR="000F4C1C" w:rsidRPr="00EA62D6" w:rsidRDefault="000F4C1C" w:rsidP="000F4C1C">
            <w:pPr>
              <w:pStyle w:val="a3"/>
              <w:spacing w:line="360" w:lineRule="auto"/>
              <w:ind w:firstLine="31680"/>
              <w:rPr>
                <w:rFonts w:ascii="仿宋_GB2312" w:eastAsia="仿宋_GB2312" w:hAnsi="宋体" w:cs="Times New Roman"/>
                <w:sz w:val="24"/>
                <w:szCs w:val="24"/>
              </w:rPr>
            </w:pPr>
            <w:r w:rsidRPr="00EA62D6">
              <w:rPr>
                <w:rFonts w:ascii="仿宋_GB2312" w:eastAsia="仿宋_GB2312" w:hAnsi="宋体" w:cs="仿宋_GB2312" w:hint="eastAsia"/>
                <w:sz w:val="24"/>
                <w:szCs w:val="24"/>
              </w:rPr>
              <w:t>底托、珠宝玉石、镶嵌方式、工艺、来源出处、状况等</w:t>
            </w:r>
          </w:p>
        </w:tc>
        <w:tc>
          <w:tcPr>
            <w:tcW w:w="3282" w:type="dxa"/>
          </w:tcPr>
          <w:p w:rsidR="000F4C1C" w:rsidRPr="00EA62D6" w:rsidRDefault="000F4C1C">
            <w:pPr>
              <w:pStyle w:val="a3"/>
              <w:spacing w:line="360" w:lineRule="auto"/>
              <w:ind w:firstLineChars="0" w:firstLine="0"/>
              <w:jc w:val="left"/>
              <w:rPr>
                <w:rFonts w:ascii="仿宋_GB2312" w:eastAsia="仿宋_GB2312" w:hAnsi="宋体" w:cs="Times New Roman"/>
                <w:sz w:val="24"/>
                <w:szCs w:val="24"/>
              </w:rPr>
            </w:pPr>
            <w:r w:rsidRPr="00EA62D6">
              <w:rPr>
                <w:rFonts w:ascii="仿宋_GB2312" w:eastAsia="仿宋_GB2312" w:hAnsi="宋体" w:cs="仿宋_GB2312"/>
                <w:sz w:val="24"/>
                <w:szCs w:val="24"/>
              </w:rPr>
              <w:t>GB 11887</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GB/T 16552</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GB/T 16553</w:t>
            </w:r>
            <w:r w:rsidRPr="00EA62D6">
              <w:rPr>
                <w:rFonts w:ascii="仿宋_GB2312" w:eastAsia="仿宋_GB2312" w:hAnsi="宋体" w:cs="仿宋_GB2312" w:hint="eastAsia"/>
                <w:sz w:val="24"/>
                <w:szCs w:val="24"/>
              </w:rPr>
              <w:t>等</w:t>
            </w:r>
          </w:p>
        </w:tc>
      </w:tr>
      <w:tr w:rsidR="000F4C1C" w:rsidRPr="005D3D41">
        <w:trPr>
          <w:jc w:val="center"/>
        </w:trPr>
        <w:tc>
          <w:tcPr>
            <w:tcW w:w="1446" w:type="dxa"/>
            <w:vAlign w:val="center"/>
          </w:tcPr>
          <w:p w:rsidR="000F4C1C" w:rsidRPr="00EA62D6" w:rsidRDefault="000F4C1C" w:rsidP="00DA5626">
            <w:pPr>
              <w:pStyle w:val="a3"/>
              <w:spacing w:line="360" w:lineRule="auto"/>
              <w:ind w:firstLineChars="0" w:firstLine="0"/>
              <w:jc w:val="center"/>
              <w:rPr>
                <w:rFonts w:ascii="仿宋_GB2312" w:eastAsia="仿宋_GB2312" w:hAnsi="宋体" w:cs="Times New Roman"/>
                <w:sz w:val="24"/>
                <w:szCs w:val="24"/>
              </w:rPr>
            </w:pPr>
            <w:r w:rsidRPr="00EA62D6">
              <w:rPr>
                <w:rFonts w:ascii="仿宋_GB2312" w:eastAsia="仿宋_GB2312" w:hAnsi="宋体" w:cs="仿宋_GB2312" w:hint="eastAsia"/>
                <w:sz w:val="24"/>
                <w:szCs w:val="24"/>
              </w:rPr>
              <w:t>其</w:t>
            </w:r>
            <w:r>
              <w:rPr>
                <w:rFonts w:ascii="仿宋_GB2312" w:eastAsia="仿宋_GB2312" w:hAnsi="宋体" w:cs="仿宋_GB2312" w:hint="eastAsia"/>
                <w:sz w:val="24"/>
                <w:szCs w:val="24"/>
              </w:rPr>
              <w:t>他</w:t>
            </w:r>
            <w:bookmarkStart w:id="81" w:name="_GoBack"/>
            <w:bookmarkEnd w:id="81"/>
          </w:p>
        </w:tc>
        <w:tc>
          <w:tcPr>
            <w:tcW w:w="3544" w:type="dxa"/>
          </w:tcPr>
          <w:p w:rsidR="000F4C1C" w:rsidRPr="00EA62D6" w:rsidRDefault="000F4C1C" w:rsidP="000F4C1C">
            <w:pPr>
              <w:pStyle w:val="a3"/>
              <w:spacing w:line="360" w:lineRule="auto"/>
              <w:ind w:firstLine="31680"/>
              <w:rPr>
                <w:rFonts w:ascii="仿宋_GB2312" w:eastAsia="仿宋_GB2312" w:hAnsi="宋体" w:cs="Times New Roman"/>
                <w:sz w:val="24"/>
                <w:szCs w:val="24"/>
              </w:rPr>
            </w:pPr>
            <w:r w:rsidRPr="00EA62D6">
              <w:rPr>
                <w:rFonts w:ascii="仿宋_GB2312" w:eastAsia="仿宋_GB2312" w:hAnsi="宋体" w:cs="仿宋_GB2312" w:hint="eastAsia"/>
                <w:sz w:val="24"/>
                <w:szCs w:val="24"/>
              </w:rPr>
              <w:t>根据评估对象品质要素的特点进行描述</w:t>
            </w:r>
          </w:p>
        </w:tc>
        <w:tc>
          <w:tcPr>
            <w:tcW w:w="3282" w:type="dxa"/>
          </w:tcPr>
          <w:p w:rsidR="000F4C1C" w:rsidRDefault="000F4C1C">
            <w:pPr>
              <w:pStyle w:val="a3"/>
              <w:tabs>
                <w:tab w:val="clear" w:pos="4201"/>
                <w:tab w:val="clear" w:pos="9298"/>
                <w:tab w:val="left" w:pos="2227"/>
              </w:tabs>
              <w:spacing w:line="360" w:lineRule="auto"/>
              <w:ind w:firstLineChars="0" w:firstLine="0"/>
              <w:jc w:val="left"/>
              <w:rPr>
                <w:rFonts w:ascii="仿宋_GB2312" w:eastAsia="仿宋_GB2312" w:hAnsi="宋体" w:cs="Times New Roman"/>
                <w:sz w:val="24"/>
                <w:szCs w:val="24"/>
              </w:rPr>
            </w:pPr>
            <w:r w:rsidRPr="00EA62D6">
              <w:rPr>
                <w:rFonts w:ascii="仿宋_GB2312" w:eastAsia="仿宋_GB2312" w:hAnsi="宋体" w:cs="仿宋_GB2312"/>
                <w:sz w:val="24"/>
                <w:szCs w:val="24"/>
              </w:rPr>
              <w:t>GB/T 36168</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GB/T 36169</w:t>
            </w:r>
            <w:r w:rsidRPr="00EA62D6">
              <w:rPr>
                <w:rFonts w:ascii="仿宋_GB2312" w:eastAsia="仿宋_GB2312" w:hAnsi="宋体" w:cs="仿宋_GB2312" w:hint="eastAsia"/>
                <w:sz w:val="24"/>
                <w:szCs w:val="24"/>
              </w:rPr>
              <w:t>、</w:t>
            </w:r>
            <w:r w:rsidRPr="00EA62D6">
              <w:rPr>
                <w:rFonts w:ascii="仿宋_GB2312" w:eastAsia="仿宋_GB2312" w:hAnsi="宋体" w:cs="仿宋_GB2312"/>
                <w:sz w:val="24"/>
                <w:szCs w:val="24"/>
              </w:rPr>
              <w:t>GB/T 36127</w:t>
            </w:r>
            <w:r w:rsidRPr="00EA62D6">
              <w:rPr>
                <w:rFonts w:ascii="仿宋_GB2312" w:eastAsia="仿宋_GB2312" w:hAnsi="宋体" w:cs="仿宋_GB2312" w:hint="eastAsia"/>
                <w:sz w:val="24"/>
                <w:szCs w:val="24"/>
              </w:rPr>
              <w:t>等</w:t>
            </w:r>
          </w:p>
        </w:tc>
      </w:tr>
    </w:tbl>
    <w:p w:rsidR="000F4C1C" w:rsidRDefault="000F4C1C" w:rsidP="000F4C1C">
      <w:pPr>
        <w:pStyle w:val="a3"/>
        <w:spacing w:line="360" w:lineRule="auto"/>
        <w:ind w:firstLine="31680"/>
        <w:rPr>
          <w:rFonts w:cs="Times New Roman"/>
          <w:sz w:val="28"/>
          <w:szCs w:val="28"/>
        </w:rPr>
      </w:pPr>
    </w:p>
    <w:sectPr w:rsidR="000F4C1C" w:rsidSect="006958A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C1C" w:rsidRDefault="000F4C1C" w:rsidP="005667B1">
      <w:pPr>
        <w:rPr>
          <w:rFonts w:cs="Times New Roman"/>
        </w:rPr>
      </w:pPr>
      <w:r>
        <w:rPr>
          <w:rFonts w:cs="Times New Roman"/>
        </w:rPr>
        <w:separator/>
      </w:r>
    </w:p>
  </w:endnote>
  <w:endnote w:type="continuationSeparator" w:id="0">
    <w:p w:rsidR="000F4C1C" w:rsidRDefault="000F4C1C" w:rsidP="005667B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C1C" w:rsidRDefault="000F4C1C" w:rsidP="005667B1">
      <w:pPr>
        <w:rPr>
          <w:rFonts w:cs="Times New Roman"/>
        </w:rPr>
      </w:pPr>
      <w:r>
        <w:rPr>
          <w:rFonts w:cs="Times New Roman"/>
        </w:rPr>
        <w:separator/>
      </w:r>
    </w:p>
  </w:footnote>
  <w:footnote w:type="continuationSeparator" w:id="0">
    <w:p w:rsidR="000F4C1C" w:rsidRDefault="000F4C1C" w:rsidP="005667B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bCs w:val="0"/>
        <w:i w:val="0"/>
        <w:iCs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pStyle w:val="a1"/>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nsid w:val="616B037E"/>
    <w:multiLevelType w:val="multilevel"/>
    <w:tmpl w:val="616B037E"/>
    <w:lvl w:ilvl="0">
      <w:start w:val="1"/>
      <w:numFmt w:val="decimal"/>
      <w:pStyle w:val="a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6F1A0964"/>
    <w:multiLevelType w:val="multilevel"/>
    <w:tmpl w:val="6F1A0964"/>
    <w:lvl w:ilvl="0">
      <w:start w:val="1"/>
      <w:numFmt w:val="japaneseCounting"/>
      <w:lvlText w:val="第%1章"/>
      <w:lvlJc w:val="left"/>
      <w:pPr>
        <w:ind w:left="1110"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2769"/>
    <w:rsid w:val="00001838"/>
    <w:rsid w:val="000066AD"/>
    <w:rsid w:val="000133C2"/>
    <w:rsid w:val="0002182E"/>
    <w:rsid w:val="000319D7"/>
    <w:rsid w:val="00032C81"/>
    <w:rsid w:val="0003502C"/>
    <w:rsid w:val="00036C1E"/>
    <w:rsid w:val="00055D37"/>
    <w:rsid w:val="000606ED"/>
    <w:rsid w:val="00061E34"/>
    <w:rsid w:val="000628B3"/>
    <w:rsid w:val="00066BA5"/>
    <w:rsid w:val="00071539"/>
    <w:rsid w:val="000716CE"/>
    <w:rsid w:val="000812CD"/>
    <w:rsid w:val="00081D83"/>
    <w:rsid w:val="000846A7"/>
    <w:rsid w:val="00087244"/>
    <w:rsid w:val="000A09C2"/>
    <w:rsid w:val="000A20D5"/>
    <w:rsid w:val="000A3C27"/>
    <w:rsid w:val="000A5225"/>
    <w:rsid w:val="000A58F9"/>
    <w:rsid w:val="000A5CCA"/>
    <w:rsid w:val="000B2250"/>
    <w:rsid w:val="000B2BC4"/>
    <w:rsid w:val="000B2F69"/>
    <w:rsid w:val="000B5A30"/>
    <w:rsid w:val="000B72E5"/>
    <w:rsid w:val="000B7D2F"/>
    <w:rsid w:val="000C060F"/>
    <w:rsid w:val="000C5C7F"/>
    <w:rsid w:val="000D0015"/>
    <w:rsid w:val="000D23A8"/>
    <w:rsid w:val="000D7CCC"/>
    <w:rsid w:val="000E42E5"/>
    <w:rsid w:val="000E554D"/>
    <w:rsid w:val="000E654F"/>
    <w:rsid w:val="000F22A8"/>
    <w:rsid w:val="000F3666"/>
    <w:rsid w:val="000F4C1C"/>
    <w:rsid w:val="00103303"/>
    <w:rsid w:val="0010776C"/>
    <w:rsid w:val="001102A2"/>
    <w:rsid w:val="00111B40"/>
    <w:rsid w:val="00112689"/>
    <w:rsid w:val="00113B11"/>
    <w:rsid w:val="00121B6F"/>
    <w:rsid w:val="001259F5"/>
    <w:rsid w:val="0013106C"/>
    <w:rsid w:val="00133338"/>
    <w:rsid w:val="00134C31"/>
    <w:rsid w:val="001359CF"/>
    <w:rsid w:val="00135B33"/>
    <w:rsid w:val="00141382"/>
    <w:rsid w:val="00145398"/>
    <w:rsid w:val="00145F55"/>
    <w:rsid w:val="00146B70"/>
    <w:rsid w:val="001477BB"/>
    <w:rsid w:val="00153A0C"/>
    <w:rsid w:val="00153FE1"/>
    <w:rsid w:val="00156EEE"/>
    <w:rsid w:val="00164484"/>
    <w:rsid w:val="00175F01"/>
    <w:rsid w:val="00176882"/>
    <w:rsid w:val="00181993"/>
    <w:rsid w:val="00181B5E"/>
    <w:rsid w:val="001863D9"/>
    <w:rsid w:val="00190606"/>
    <w:rsid w:val="00197D73"/>
    <w:rsid w:val="001A0096"/>
    <w:rsid w:val="001A3428"/>
    <w:rsid w:val="001B2CF4"/>
    <w:rsid w:val="001B468B"/>
    <w:rsid w:val="001B62CA"/>
    <w:rsid w:val="001E2DD7"/>
    <w:rsid w:val="001F213D"/>
    <w:rsid w:val="001F7229"/>
    <w:rsid w:val="001F7621"/>
    <w:rsid w:val="00202E59"/>
    <w:rsid w:val="00210BF2"/>
    <w:rsid w:val="00213BB4"/>
    <w:rsid w:val="00215001"/>
    <w:rsid w:val="002153FD"/>
    <w:rsid w:val="002160B3"/>
    <w:rsid w:val="002209D9"/>
    <w:rsid w:val="00221802"/>
    <w:rsid w:val="00225CD9"/>
    <w:rsid w:val="00230EAB"/>
    <w:rsid w:val="00232CBC"/>
    <w:rsid w:val="00235361"/>
    <w:rsid w:val="00236248"/>
    <w:rsid w:val="00241603"/>
    <w:rsid w:val="00242A0C"/>
    <w:rsid w:val="002474F0"/>
    <w:rsid w:val="0025038D"/>
    <w:rsid w:val="00250473"/>
    <w:rsid w:val="00251CC2"/>
    <w:rsid w:val="00252109"/>
    <w:rsid w:val="00252C25"/>
    <w:rsid w:val="00254D75"/>
    <w:rsid w:val="00260CD3"/>
    <w:rsid w:val="002612D0"/>
    <w:rsid w:val="00264511"/>
    <w:rsid w:val="00272727"/>
    <w:rsid w:val="00272A4B"/>
    <w:rsid w:val="00273F7D"/>
    <w:rsid w:val="00283F0B"/>
    <w:rsid w:val="00294815"/>
    <w:rsid w:val="002A0259"/>
    <w:rsid w:val="002A1469"/>
    <w:rsid w:val="002A6D3C"/>
    <w:rsid w:val="002A710C"/>
    <w:rsid w:val="002A780C"/>
    <w:rsid w:val="002B5D4F"/>
    <w:rsid w:val="002B6CEF"/>
    <w:rsid w:val="002C0A76"/>
    <w:rsid w:val="002C0DB7"/>
    <w:rsid w:val="002C206D"/>
    <w:rsid w:val="002C3BEC"/>
    <w:rsid w:val="002C6FE5"/>
    <w:rsid w:val="002C7BF3"/>
    <w:rsid w:val="002D0688"/>
    <w:rsid w:val="002D06F6"/>
    <w:rsid w:val="002D4008"/>
    <w:rsid w:val="002E2FFF"/>
    <w:rsid w:val="002E7A4C"/>
    <w:rsid w:val="002F1C23"/>
    <w:rsid w:val="002F1C2C"/>
    <w:rsid w:val="002F3FCF"/>
    <w:rsid w:val="003023B7"/>
    <w:rsid w:val="00312364"/>
    <w:rsid w:val="00314175"/>
    <w:rsid w:val="0032256F"/>
    <w:rsid w:val="00323FEF"/>
    <w:rsid w:val="00341C18"/>
    <w:rsid w:val="00341E72"/>
    <w:rsid w:val="00354F41"/>
    <w:rsid w:val="00370C09"/>
    <w:rsid w:val="003737FC"/>
    <w:rsid w:val="00376F20"/>
    <w:rsid w:val="00382A27"/>
    <w:rsid w:val="00383BD6"/>
    <w:rsid w:val="00392A1B"/>
    <w:rsid w:val="00396B66"/>
    <w:rsid w:val="003A3B9E"/>
    <w:rsid w:val="003A7FE6"/>
    <w:rsid w:val="003B4307"/>
    <w:rsid w:val="003B4E9B"/>
    <w:rsid w:val="003C0C33"/>
    <w:rsid w:val="003D03C1"/>
    <w:rsid w:val="003D274B"/>
    <w:rsid w:val="003D2C08"/>
    <w:rsid w:val="003D4A21"/>
    <w:rsid w:val="003E0B0C"/>
    <w:rsid w:val="003E2108"/>
    <w:rsid w:val="003E5630"/>
    <w:rsid w:val="003F09E0"/>
    <w:rsid w:val="003F35CA"/>
    <w:rsid w:val="003F3F34"/>
    <w:rsid w:val="003F3FF2"/>
    <w:rsid w:val="00402723"/>
    <w:rsid w:val="00406151"/>
    <w:rsid w:val="00415919"/>
    <w:rsid w:val="0042301B"/>
    <w:rsid w:val="00423C5B"/>
    <w:rsid w:val="004271F3"/>
    <w:rsid w:val="00432925"/>
    <w:rsid w:val="00455976"/>
    <w:rsid w:val="00460B9E"/>
    <w:rsid w:val="00461CEC"/>
    <w:rsid w:val="004629C6"/>
    <w:rsid w:val="00464F0A"/>
    <w:rsid w:val="0047699C"/>
    <w:rsid w:val="00485E0E"/>
    <w:rsid w:val="00487647"/>
    <w:rsid w:val="00493BA7"/>
    <w:rsid w:val="0049769F"/>
    <w:rsid w:val="00497F2E"/>
    <w:rsid w:val="004A38EF"/>
    <w:rsid w:val="004A396E"/>
    <w:rsid w:val="004A3B32"/>
    <w:rsid w:val="004A5A2F"/>
    <w:rsid w:val="004A7A59"/>
    <w:rsid w:val="004B152A"/>
    <w:rsid w:val="004B3D7A"/>
    <w:rsid w:val="004B5D30"/>
    <w:rsid w:val="004B6BE6"/>
    <w:rsid w:val="004B7940"/>
    <w:rsid w:val="004B798A"/>
    <w:rsid w:val="004B7A9F"/>
    <w:rsid w:val="004D198D"/>
    <w:rsid w:val="004D2837"/>
    <w:rsid w:val="004D724E"/>
    <w:rsid w:val="004E168F"/>
    <w:rsid w:val="004E2D2D"/>
    <w:rsid w:val="004E41E9"/>
    <w:rsid w:val="004E427C"/>
    <w:rsid w:val="004E49CC"/>
    <w:rsid w:val="004E6085"/>
    <w:rsid w:val="004E7720"/>
    <w:rsid w:val="004F00D9"/>
    <w:rsid w:val="004F292A"/>
    <w:rsid w:val="004F4A35"/>
    <w:rsid w:val="004F6F68"/>
    <w:rsid w:val="004F72C4"/>
    <w:rsid w:val="00500088"/>
    <w:rsid w:val="005003AC"/>
    <w:rsid w:val="00500416"/>
    <w:rsid w:val="00504FF7"/>
    <w:rsid w:val="00512BC2"/>
    <w:rsid w:val="00515106"/>
    <w:rsid w:val="00520CE1"/>
    <w:rsid w:val="00521261"/>
    <w:rsid w:val="0052215F"/>
    <w:rsid w:val="00524AD9"/>
    <w:rsid w:val="00526B9E"/>
    <w:rsid w:val="005274A0"/>
    <w:rsid w:val="00532655"/>
    <w:rsid w:val="005360F7"/>
    <w:rsid w:val="00536538"/>
    <w:rsid w:val="00553DD2"/>
    <w:rsid w:val="00555A73"/>
    <w:rsid w:val="00556D4A"/>
    <w:rsid w:val="00560FF6"/>
    <w:rsid w:val="005667B1"/>
    <w:rsid w:val="00570398"/>
    <w:rsid w:val="0057594D"/>
    <w:rsid w:val="00577456"/>
    <w:rsid w:val="005775F5"/>
    <w:rsid w:val="005811EA"/>
    <w:rsid w:val="005827AC"/>
    <w:rsid w:val="00582D55"/>
    <w:rsid w:val="00590856"/>
    <w:rsid w:val="005947F8"/>
    <w:rsid w:val="0059534F"/>
    <w:rsid w:val="005A5936"/>
    <w:rsid w:val="005B2132"/>
    <w:rsid w:val="005C2773"/>
    <w:rsid w:val="005C44BF"/>
    <w:rsid w:val="005C7EE9"/>
    <w:rsid w:val="005D25CA"/>
    <w:rsid w:val="005D2D2F"/>
    <w:rsid w:val="005D3D41"/>
    <w:rsid w:val="005D7D37"/>
    <w:rsid w:val="005E1388"/>
    <w:rsid w:val="005E3FD7"/>
    <w:rsid w:val="005E51EE"/>
    <w:rsid w:val="005F4C8C"/>
    <w:rsid w:val="00604FF5"/>
    <w:rsid w:val="00607777"/>
    <w:rsid w:val="00613958"/>
    <w:rsid w:val="00613D9A"/>
    <w:rsid w:val="00616AEB"/>
    <w:rsid w:val="006254C6"/>
    <w:rsid w:val="006270CC"/>
    <w:rsid w:val="00627E69"/>
    <w:rsid w:val="00630D71"/>
    <w:rsid w:val="0064125F"/>
    <w:rsid w:val="006431CC"/>
    <w:rsid w:val="0065010F"/>
    <w:rsid w:val="00651368"/>
    <w:rsid w:val="006627C6"/>
    <w:rsid w:val="00672DE7"/>
    <w:rsid w:val="00684341"/>
    <w:rsid w:val="006861B4"/>
    <w:rsid w:val="00686694"/>
    <w:rsid w:val="00686F9C"/>
    <w:rsid w:val="006958AA"/>
    <w:rsid w:val="006A064A"/>
    <w:rsid w:val="006A28A9"/>
    <w:rsid w:val="006A35CC"/>
    <w:rsid w:val="006A6F0E"/>
    <w:rsid w:val="006B1879"/>
    <w:rsid w:val="006B67B3"/>
    <w:rsid w:val="006C278A"/>
    <w:rsid w:val="006C46DA"/>
    <w:rsid w:val="006D5F09"/>
    <w:rsid w:val="006E0B21"/>
    <w:rsid w:val="006E2204"/>
    <w:rsid w:val="006E237A"/>
    <w:rsid w:val="006E51E5"/>
    <w:rsid w:val="006E635F"/>
    <w:rsid w:val="006E661E"/>
    <w:rsid w:val="006E68B1"/>
    <w:rsid w:val="006F3420"/>
    <w:rsid w:val="006F357B"/>
    <w:rsid w:val="0070453B"/>
    <w:rsid w:val="0070738C"/>
    <w:rsid w:val="0071566C"/>
    <w:rsid w:val="00720FF8"/>
    <w:rsid w:val="00722048"/>
    <w:rsid w:val="0072336C"/>
    <w:rsid w:val="00724DA8"/>
    <w:rsid w:val="00727D7A"/>
    <w:rsid w:val="00733419"/>
    <w:rsid w:val="00750D22"/>
    <w:rsid w:val="007518E8"/>
    <w:rsid w:val="0075449D"/>
    <w:rsid w:val="00766D09"/>
    <w:rsid w:val="00771683"/>
    <w:rsid w:val="007727D1"/>
    <w:rsid w:val="007813B5"/>
    <w:rsid w:val="0078334A"/>
    <w:rsid w:val="00786616"/>
    <w:rsid w:val="007907C1"/>
    <w:rsid w:val="00796ABC"/>
    <w:rsid w:val="007A462F"/>
    <w:rsid w:val="007A57EE"/>
    <w:rsid w:val="007B50BA"/>
    <w:rsid w:val="007B7ABC"/>
    <w:rsid w:val="007C14E2"/>
    <w:rsid w:val="007C26E5"/>
    <w:rsid w:val="007C4E53"/>
    <w:rsid w:val="007C4EC0"/>
    <w:rsid w:val="007C5A92"/>
    <w:rsid w:val="007C60F8"/>
    <w:rsid w:val="007C6F6A"/>
    <w:rsid w:val="007D47A5"/>
    <w:rsid w:val="007E29C9"/>
    <w:rsid w:val="008003FA"/>
    <w:rsid w:val="00800CA7"/>
    <w:rsid w:val="008023C7"/>
    <w:rsid w:val="008071FA"/>
    <w:rsid w:val="008137C2"/>
    <w:rsid w:val="00817822"/>
    <w:rsid w:val="008205C6"/>
    <w:rsid w:val="00832769"/>
    <w:rsid w:val="00835F2C"/>
    <w:rsid w:val="00836CFE"/>
    <w:rsid w:val="008470DC"/>
    <w:rsid w:val="00853062"/>
    <w:rsid w:val="00872CCC"/>
    <w:rsid w:val="00875158"/>
    <w:rsid w:val="008761A5"/>
    <w:rsid w:val="0089553B"/>
    <w:rsid w:val="00896F30"/>
    <w:rsid w:val="008A0639"/>
    <w:rsid w:val="008A7D31"/>
    <w:rsid w:val="008B0DA6"/>
    <w:rsid w:val="008B2C4B"/>
    <w:rsid w:val="008B45A6"/>
    <w:rsid w:val="008B5637"/>
    <w:rsid w:val="008C65C2"/>
    <w:rsid w:val="008E05C9"/>
    <w:rsid w:val="008E1508"/>
    <w:rsid w:val="008E7013"/>
    <w:rsid w:val="008F0174"/>
    <w:rsid w:val="008F02B7"/>
    <w:rsid w:val="008F41B1"/>
    <w:rsid w:val="008F49D2"/>
    <w:rsid w:val="008F57D8"/>
    <w:rsid w:val="00903C8A"/>
    <w:rsid w:val="009047F0"/>
    <w:rsid w:val="009048F6"/>
    <w:rsid w:val="009110CB"/>
    <w:rsid w:val="00920DE1"/>
    <w:rsid w:val="009220C8"/>
    <w:rsid w:val="00927245"/>
    <w:rsid w:val="009335EB"/>
    <w:rsid w:val="00933ADB"/>
    <w:rsid w:val="009417ED"/>
    <w:rsid w:val="00946063"/>
    <w:rsid w:val="009506DB"/>
    <w:rsid w:val="009507B0"/>
    <w:rsid w:val="00956797"/>
    <w:rsid w:val="00957C3C"/>
    <w:rsid w:val="0096324C"/>
    <w:rsid w:val="00967AE8"/>
    <w:rsid w:val="0097487A"/>
    <w:rsid w:val="00974C7C"/>
    <w:rsid w:val="0098377B"/>
    <w:rsid w:val="009845D2"/>
    <w:rsid w:val="009863B4"/>
    <w:rsid w:val="00995BC1"/>
    <w:rsid w:val="009A1E50"/>
    <w:rsid w:val="009A3449"/>
    <w:rsid w:val="009A4B5B"/>
    <w:rsid w:val="009B519B"/>
    <w:rsid w:val="009B6AB2"/>
    <w:rsid w:val="009C02DB"/>
    <w:rsid w:val="009C337D"/>
    <w:rsid w:val="009C6A3E"/>
    <w:rsid w:val="009D169D"/>
    <w:rsid w:val="009D35AD"/>
    <w:rsid w:val="009D5128"/>
    <w:rsid w:val="009D5BB4"/>
    <w:rsid w:val="009D5CA5"/>
    <w:rsid w:val="009D6259"/>
    <w:rsid w:val="009D73F1"/>
    <w:rsid w:val="009E01A0"/>
    <w:rsid w:val="009E0F71"/>
    <w:rsid w:val="009E294E"/>
    <w:rsid w:val="009E4282"/>
    <w:rsid w:val="009E5E68"/>
    <w:rsid w:val="009F001E"/>
    <w:rsid w:val="009F1241"/>
    <w:rsid w:val="009F1805"/>
    <w:rsid w:val="00A0298F"/>
    <w:rsid w:val="00A04E3A"/>
    <w:rsid w:val="00A125B1"/>
    <w:rsid w:val="00A1770B"/>
    <w:rsid w:val="00A20A6C"/>
    <w:rsid w:val="00A24713"/>
    <w:rsid w:val="00A24915"/>
    <w:rsid w:val="00A26D41"/>
    <w:rsid w:val="00A308F5"/>
    <w:rsid w:val="00A33573"/>
    <w:rsid w:val="00A37835"/>
    <w:rsid w:val="00A45990"/>
    <w:rsid w:val="00A472C5"/>
    <w:rsid w:val="00A477C9"/>
    <w:rsid w:val="00A53A73"/>
    <w:rsid w:val="00A56A72"/>
    <w:rsid w:val="00A56BD8"/>
    <w:rsid w:val="00A61705"/>
    <w:rsid w:val="00A64E3B"/>
    <w:rsid w:val="00A6624B"/>
    <w:rsid w:val="00A709A7"/>
    <w:rsid w:val="00A75F51"/>
    <w:rsid w:val="00A77CDC"/>
    <w:rsid w:val="00A8203F"/>
    <w:rsid w:val="00AB21F6"/>
    <w:rsid w:val="00AB29C0"/>
    <w:rsid w:val="00AC2D6E"/>
    <w:rsid w:val="00AD2B84"/>
    <w:rsid w:val="00AD3CAD"/>
    <w:rsid w:val="00AD75D3"/>
    <w:rsid w:val="00AE1F48"/>
    <w:rsid w:val="00AE7DA9"/>
    <w:rsid w:val="00AF2F42"/>
    <w:rsid w:val="00AF3058"/>
    <w:rsid w:val="00B02241"/>
    <w:rsid w:val="00B05A6A"/>
    <w:rsid w:val="00B06A6C"/>
    <w:rsid w:val="00B07285"/>
    <w:rsid w:val="00B077CF"/>
    <w:rsid w:val="00B204C0"/>
    <w:rsid w:val="00B264D1"/>
    <w:rsid w:val="00B27A9F"/>
    <w:rsid w:val="00B324F9"/>
    <w:rsid w:val="00B33D8E"/>
    <w:rsid w:val="00B35560"/>
    <w:rsid w:val="00B365D5"/>
    <w:rsid w:val="00B429C4"/>
    <w:rsid w:val="00B42FE3"/>
    <w:rsid w:val="00B45826"/>
    <w:rsid w:val="00B563D2"/>
    <w:rsid w:val="00B6173A"/>
    <w:rsid w:val="00B62D7E"/>
    <w:rsid w:val="00B715E6"/>
    <w:rsid w:val="00B77E54"/>
    <w:rsid w:val="00B90522"/>
    <w:rsid w:val="00B94543"/>
    <w:rsid w:val="00B945E3"/>
    <w:rsid w:val="00BA0AB1"/>
    <w:rsid w:val="00BB21D1"/>
    <w:rsid w:val="00BB2F71"/>
    <w:rsid w:val="00BB3BB7"/>
    <w:rsid w:val="00BB5F2D"/>
    <w:rsid w:val="00BB6174"/>
    <w:rsid w:val="00BC35EF"/>
    <w:rsid w:val="00BD4FCA"/>
    <w:rsid w:val="00BD7E7A"/>
    <w:rsid w:val="00BE0FB5"/>
    <w:rsid w:val="00BE42EB"/>
    <w:rsid w:val="00BE638E"/>
    <w:rsid w:val="00BF7C77"/>
    <w:rsid w:val="00C17F0C"/>
    <w:rsid w:val="00C27A92"/>
    <w:rsid w:val="00C3437C"/>
    <w:rsid w:val="00C35695"/>
    <w:rsid w:val="00C433C8"/>
    <w:rsid w:val="00C447C8"/>
    <w:rsid w:val="00C44A52"/>
    <w:rsid w:val="00C45208"/>
    <w:rsid w:val="00C4739C"/>
    <w:rsid w:val="00C47762"/>
    <w:rsid w:val="00C70DAB"/>
    <w:rsid w:val="00CA14DE"/>
    <w:rsid w:val="00CB4923"/>
    <w:rsid w:val="00CE28CB"/>
    <w:rsid w:val="00CE2FBA"/>
    <w:rsid w:val="00CE503E"/>
    <w:rsid w:val="00CF5B7E"/>
    <w:rsid w:val="00CF69B4"/>
    <w:rsid w:val="00D02561"/>
    <w:rsid w:val="00D04CAC"/>
    <w:rsid w:val="00D106BA"/>
    <w:rsid w:val="00D13277"/>
    <w:rsid w:val="00D13449"/>
    <w:rsid w:val="00D1426C"/>
    <w:rsid w:val="00D14CD8"/>
    <w:rsid w:val="00D157E7"/>
    <w:rsid w:val="00D17F29"/>
    <w:rsid w:val="00D20B0E"/>
    <w:rsid w:val="00D22490"/>
    <w:rsid w:val="00D24AAF"/>
    <w:rsid w:val="00D32353"/>
    <w:rsid w:val="00D35E0B"/>
    <w:rsid w:val="00D409CA"/>
    <w:rsid w:val="00D47B68"/>
    <w:rsid w:val="00D52AD3"/>
    <w:rsid w:val="00D547DB"/>
    <w:rsid w:val="00D661EB"/>
    <w:rsid w:val="00D74FD5"/>
    <w:rsid w:val="00D775BC"/>
    <w:rsid w:val="00D94328"/>
    <w:rsid w:val="00D95C57"/>
    <w:rsid w:val="00DA0647"/>
    <w:rsid w:val="00DA5626"/>
    <w:rsid w:val="00DA59C3"/>
    <w:rsid w:val="00DA5B7B"/>
    <w:rsid w:val="00DA6E6B"/>
    <w:rsid w:val="00DA6FB9"/>
    <w:rsid w:val="00DB1C5B"/>
    <w:rsid w:val="00DB2636"/>
    <w:rsid w:val="00DC2BAD"/>
    <w:rsid w:val="00DC3F61"/>
    <w:rsid w:val="00DC502D"/>
    <w:rsid w:val="00DC5D31"/>
    <w:rsid w:val="00DC6215"/>
    <w:rsid w:val="00DC7789"/>
    <w:rsid w:val="00DC7DC5"/>
    <w:rsid w:val="00DD524A"/>
    <w:rsid w:val="00DD6C2A"/>
    <w:rsid w:val="00DD7F2A"/>
    <w:rsid w:val="00DE2263"/>
    <w:rsid w:val="00DE2F97"/>
    <w:rsid w:val="00DF3752"/>
    <w:rsid w:val="00DF5A78"/>
    <w:rsid w:val="00DF7349"/>
    <w:rsid w:val="00DF7F10"/>
    <w:rsid w:val="00E05E22"/>
    <w:rsid w:val="00E06571"/>
    <w:rsid w:val="00E2026B"/>
    <w:rsid w:val="00E234F5"/>
    <w:rsid w:val="00E26709"/>
    <w:rsid w:val="00E27376"/>
    <w:rsid w:val="00E40BD7"/>
    <w:rsid w:val="00E43CD5"/>
    <w:rsid w:val="00E44CB6"/>
    <w:rsid w:val="00E46E11"/>
    <w:rsid w:val="00E46F39"/>
    <w:rsid w:val="00E55E4A"/>
    <w:rsid w:val="00E562AC"/>
    <w:rsid w:val="00E619C5"/>
    <w:rsid w:val="00E647E2"/>
    <w:rsid w:val="00E64B1C"/>
    <w:rsid w:val="00E6672E"/>
    <w:rsid w:val="00E6706E"/>
    <w:rsid w:val="00E70EFD"/>
    <w:rsid w:val="00E71A82"/>
    <w:rsid w:val="00E74C3B"/>
    <w:rsid w:val="00E7664D"/>
    <w:rsid w:val="00E8272D"/>
    <w:rsid w:val="00E85D2E"/>
    <w:rsid w:val="00E85E03"/>
    <w:rsid w:val="00E93FF0"/>
    <w:rsid w:val="00E95E89"/>
    <w:rsid w:val="00E97DCA"/>
    <w:rsid w:val="00EA162F"/>
    <w:rsid w:val="00EA165E"/>
    <w:rsid w:val="00EA1B23"/>
    <w:rsid w:val="00EA62D6"/>
    <w:rsid w:val="00EB0781"/>
    <w:rsid w:val="00EB52D6"/>
    <w:rsid w:val="00EC3DD0"/>
    <w:rsid w:val="00EC4A45"/>
    <w:rsid w:val="00EC6042"/>
    <w:rsid w:val="00ED33C3"/>
    <w:rsid w:val="00ED6CC8"/>
    <w:rsid w:val="00EE3E0B"/>
    <w:rsid w:val="00EE4883"/>
    <w:rsid w:val="00EE7D75"/>
    <w:rsid w:val="00EE7ECB"/>
    <w:rsid w:val="00EF5D75"/>
    <w:rsid w:val="00F028F3"/>
    <w:rsid w:val="00F03195"/>
    <w:rsid w:val="00F10E2A"/>
    <w:rsid w:val="00F1187D"/>
    <w:rsid w:val="00F17E95"/>
    <w:rsid w:val="00F203E0"/>
    <w:rsid w:val="00F21219"/>
    <w:rsid w:val="00F3060B"/>
    <w:rsid w:val="00F32DE8"/>
    <w:rsid w:val="00F33072"/>
    <w:rsid w:val="00F35CE9"/>
    <w:rsid w:val="00F44342"/>
    <w:rsid w:val="00F45C2B"/>
    <w:rsid w:val="00F521CB"/>
    <w:rsid w:val="00F6611C"/>
    <w:rsid w:val="00F662FE"/>
    <w:rsid w:val="00F663EC"/>
    <w:rsid w:val="00F668CE"/>
    <w:rsid w:val="00F70175"/>
    <w:rsid w:val="00F74E3D"/>
    <w:rsid w:val="00F77B71"/>
    <w:rsid w:val="00F823E6"/>
    <w:rsid w:val="00F83C0F"/>
    <w:rsid w:val="00F848B8"/>
    <w:rsid w:val="00F86612"/>
    <w:rsid w:val="00F87424"/>
    <w:rsid w:val="00F90220"/>
    <w:rsid w:val="00F9396B"/>
    <w:rsid w:val="00F94521"/>
    <w:rsid w:val="00F94D10"/>
    <w:rsid w:val="00F96FF2"/>
    <w:rsid w:val="00FA020D"/>
    <w:rsid w:val="00FA60EC"/>
    <w:rsid w:val="00FB1CE0"/>
    <w:rsid w:val="00FB3979"/>
    <w:rsid w:val="00FB69DC"/>
    <w:rsid w:val="00FC17FA"/>
    <w:rsid w:val="00FC4802"/>
    <w:rsid w:val="00FD0877"/>
    <w:rsid w:val="00FD29BF"/>
    <w:rsid w:val="00FD29E6"/>
    <w:rsid w:val="00FD4227"/>
    <w:rsid w:val="00FD603D"/>
    <w:rsid w:val="00FD6D0C"/>
    <w:rsid w:val="00FE0A32"/>
    <w:rsid w:val="00FE1FA6"/>
    <w:rsid w:val="00FE3247"/>
    <w:rsid w:val="00FE743C"/>
    <w:rsid w:val="195A0AE7"/>
    <w:rsid w:val="20A03737"/>
    <w:rsid w:val="44E95922"/>
    <w:rsid w:val="57B74160"/>
    <w:rsid w:val="6145466A"/>
    <w:rsid w:val="65165270"/>
    <w:rsid w:val="6C901A75"/>
    <w:rsid w:val="72D470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A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958AA"/>
    <w:pPr>
      <w:jc w:val="left"/>
    </w:pPr>
  </w:style>
  <w:style w:type="character" w:customStyle="1" w:styleId="CommentTextChar">
    <w:name w:val="Comment Text Char"/>
    <w:basedOn w:val="DefaultParagraphFont"/>
    <w:link w:val="CommentText"/>
    <w:uiPriority w:val="99"/>
    <w:semiHidden/>
    <w:locked/>
    <w:rsid w:val="006958AA"/>
  </w:style>
  <w:style w:type="paragraph" w:styleId="BalloonText">
    <w:name w:val="Balloon Text"/>
    <w:basedOn w:val="Normal"/>
    <w:link w:val="BalloonTextChar"/>
    <w:uiPriority w:val="99"/>
    <w:semiHidden/>
    <w:rsid w:val="006958AA"/>
    <w:rPr>
      <w:sz w:val="18"/>
      <w:szCs w:val="18"/>
    </w:rPr>
  </w:style>
  <w:style w:type="character" w:customStyle="1" w:styleId="BalloonTextChar">
    <w:name w:val="Balloon Text Char"/>
    <w:basedOn w:val="DefaultParagraphFont"/>
    <w:link w:val="BalloonText"/>
    <w:uiPriority w:val="99"/>
    <w:semiHidden/>
    <w:locked/>
    <w:rsid w:val="006958AA"/>
    <w:rPr>
      <w:sz w:val="18"/>
      <w:szCs w:val="18"/>
    </w:rPr>
  </w:style>
  <w:style w:type="paragraph" w:styleId="Footer">
    <w:name w:val="footer"/>
    <w:basedOn w:val="Normal"/>
    <w:link w:val="FooterChar"/>
    <w:uiPriority w:val="99"/>
    <w:rsid w:val="006958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958AA"/>
    <w:rPr>
      <w:sz w:val="18"/>
      <w:szCs w:val="18"/>
    </w:rPr>
  </w:style>
  <w:style w:type="paragraph" w:styleId="Header">
    <w:name w:val="header"/>
    <w:basedOn w:val="Normal"/>
    <w:link w:val="HeaderChar"/>
    <w:uiPriority w:val="99"/>
    <w:rsid w:val="006958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958AA"/>
    <w:rPr>
      <w:sz w:val="18"/>
      <w:szCs w:val="18"/>
    </w:rPr>
  </w:style>
  <w:style w:type="paragraph" w:styleId="CommentSubject">
    <w:name w:val="annotation subject"/>
    <w:basedOn w:val="CommentText"/>
    <w:next w:val="CommentText"/>
    <w:link w:val="CommentSubjectChar"/>
    <w:uiPriority w:val="99"/>
    <w:semiHidden/>
    <w:rsid w:val="006958AA"/>
    <w:rPr>
      <w:b/>
      <w:bCs/>
    </w:rPr>
  </w:style>
  <w:style w:type="character" w:customStyle="1" w:styleId="CommentSubjectChar">
    <w:name w:val="Comment Subject Char"/>
    <w:basedOn w:val="CommentTextChar"/>
    <w:link w:val="CommentSubject"/>
    <w:uiPriority w:val="99"/>
    <w:semiHidden/>
    <w:locked/>
    <w:rsid w:val="006958AA"/>
    <w:rPr>
      <w:b/>
      <w:bCs/>
    </w:rPr>
  </w:style>
  <w:style w:type="character" w:styleId="Strong">
    <w:name w:val="Strong"/>
    <w:basedOn w:val="DefaultParagraphFont"/>
    <w:uiPriority w:val="99"/>
    <w:qFormat/>
    <w:rsid w:val="006958AA"/>
    <w:rPr>
      <w:b/>
      <w:bCs/>
    </w:rPr>
  </w:style>
  <w:style w:type="character" w:styleId="CommentReference">
    <w:name w:val="annotation reference"/>
    <w:basedOn w:val="DefaultParagraphFont"/>
    <w:uiPriority w:val="99"/>
    <w:semiHidden/>
    <w:rsid w:val="006958AA"/>
    <w:rPr>
      <w:sz w:val="21"/>
      <w:szCs w:val="21"/>
    </w:rPr>
  </w:style>
  <w:style w:type="paragraph" w:styleId="ListParagraph">
    <w:name w:val="List Paragraph"/>
    <w:basedOn w:val="Normal"/>
    <w:uiPriority w:val="99"/>
    <w:qFormat/>
    <w:rsid w:val="006958AA"/>
    <w:pPr>
      <w:ind w:firstLineChars="200" w:firstLine="420"/>
    </w:pPr>
  </w:style>
  <w:style w:type="paragraph" w:customStyle="1" w:styleId="a3">
    <w:name w:val="段"/>
    <w:link w:val="Char"/>
    <w:uiPriority w:val="99"/>
    <w:rsid w:val="006958AA"/>
    <w:pPr>
      <w:tabs>
        <w:tab w:val="center" w:pos="4201"/>
        <w:tab w:val="right" w:leader="dot" w:pos="9298"/>
      </w:tabs>
      <w:autoSpaceDE w:val="0"/>
      <w:autoSpaceDN w:val="0"/>
      <w:ind w:firstLineChars="200" w:firstLine="420"/>
      <w:jc w:val="both"/>
    </w:pPr>
    <w:rPr>
      <w:rFonts w:ascii="宋体" w:hAnsi="Times New Roman" w:cs="宋体"/>
      <w:kern w:val="0"/>
      <w:szCs w:val="21"/>
    </w:rPr>
  </w:style>
  <w:style w:type="character" w:customStyle="1" w:styleId="Char">
    <w:name w:val="段 Char"/>
    <w:basedOn w:val="DefaultParagraphFont"/>
    <w:link w:val="a3"/>
    <w:uiPriority w:val="99"/>
    <w:locked/>
    <w:rsid w:val="006958AA"/>
    <w:rPr>
      <w:rFonts w:ascii="宋体" w:eastAsia="宋体" w:hAnsi="Times New Roman" w:cs="宋体"/>
      <w:sz w:val="21"/>
      <w:szCs w:val="21"/>
      <w:lang w:val="en-US" w:eastAsia="zh-CN"/>
    </w:rPr>
  </w:style>
  <w:style w:type="paragraph" w:customStyle="1" w:styleId="a4">
    <w:name w:val="一级条标题"/>
    <w:next w:val="a3"/>
    <w:uiPriority w:val="99"/>
    <w:rsid w:val="006958AA"/>
    <w:pPr>
      <w:spacing w:beforeLines="50" w:afterLines="50"/>
      <w:outlineLvl w:val="2"/>
    </w:pPr>
    <w:rPr>
      <w:rFonts w:ascii="黑体" w:eastAsia="黑体" w:hAnsi="Times New Roman" w:cs="黑体"/>
      <w:kern w:val="0"/>
      <w:szCs w:val="21"/>
    </w:rPr>
  </w:style>
  <w:style w:type="paragraph" w:customStyle="1" w:styleId="a5">
    <w:name w:val="章标题"/>
    <w:next w:val="a3"/>
    <w:uiPriority w:val="99"/>
    <w:rsid w:val="006958AA"/>
    <w:pPr>
      <w:tabs>
        <w:tab w:val="left" w:pos="720"/>
      </w:tabs>
      <w:spacing w:beforeLines="100" w:afterLines="100"/>
      <w:ind w:left="720" w:hanging="720"/>
      <w:jc w:val="both"/>
      <w:outlineLvl w:val="1"/>
    </w:pPr>
    <w:rPr>
      <w:rFonts w:ascii="黑体" w:eastAsia="黑体" w:hAnsi="Times New Roman" w:cs="黑体"/>
      <w:kern w:val="0"/>
      <w:szCs w:val="21"/>
    </w:rPr>
  </w:style>
  <w:style w:type="paragraph" w:customStyle="1" w:styleId="a6">
    <w:name w:val="二级条标题"/>
    <w:basedOn w:val="a4"/>
    <w:next w:val="a3"/>
    <w:uiPriority w:val="99"/>
    <w:rsid w:val="006958AA"/>
    <w:pPr>
      <w:spacing w:before="50" w:after="50"/>
      <w:outlineLvl w:val="3"/>
    </w:pPr>
  </w:style>
  <w:style w:type="paragraph" w:customStyle="1" w:styleId="a7">
    <w:name w:val="三级条标题"/>
    <w:basedOn w:val="a6"/>
    <w:next w:val="a3"/>
    <w:uiPriority w:val="99"/>
    <w:rsid w:val="006958AA"/>
    <w:pPr>
      <w:outlineLvl w:val="4"/>
    </w:pPr>
  </w:style>
  <w:style w:type="paragraph" w:customStyle="1" w:styleId="a8">
    <w:name w:val="四级条标题"/>
    <w:basedOn w:val="a7"/>
    <w:next w:val="a3"/>
    <w:uiPriority w:val="99"/>
    <w:rsid w:val="006958AA"/>
    <w:pPr>
      <w:outlineLvl w:val="5"/>
    </w:pPr>
  </w:style>
  <w:style w:type="paragraph" w:customStyle="1" w:styleId="a9">
    <w:name w:val="五级条标题"/>
    <w:basedOn w:val="a8"/>
    <w:next w:val="a3"/>
    <w:uiPriority w:val="99"/>
    <w:rsid w:val="006958AA"/>
    <w:pPr>
      <w:outlineLvl w:val="6"/>
    </w:pPr>
  </w:style>
  <w:style w:type="paragraph" w:customStyle="1" w:styleId="a2">
    <w:name w:val="二级无"/>
    <w:basedOn w:val="a6"/>
    <w:uiPriority w:val="99"/>
    <w:rsid w:val="006958AA"/>
    <w:pPr>
      <w:numPr>
        <w:numId w:val="1"/>
      </w:numPr>
      <w:spacing w:beforeLines="0" w:afterLines="0"/>
    </w:pPr>
    <w:rPr>
      <w:rFonts w:ascii="宋体" w:eastAsia="宋体" w:cs="宋体"/>
    </w:rPr>
  </w:style>
  <w:style w:type="paragraph" w:customStyle="1" w:styleId="aa">
    <w:name w:val="三级无"/>
    <w:basedOn w:val="a7"/>
    <w:uiPriority w:val="99"/>
    <w:rsid w:val="006958AA"/>
    <w:pPr>
      <w:spacing w:beforeLines="0" w:afterLines="0"/>
    </w:pPr>
    <w:rPr>
      <w:rFonts w:ascii="宋体" w:eastAsia="宋体" w:cs="宋体"/>
    </w:rPr>
  </w:style>
  <w:style w:type="paragraph" w:customStyle="1" w:styleId="a0">
    <w:name w:val="数字编号列项（二级）"/>
    <w:uiPriority w:val="99"/>
    <w:rsid w:val="006958AA"/>
    <w:pPr>
      <w:numPr>
        <w:ilvl w:val="1"/>
        <w:numId w:val="2"/>
      </w:numPr>
      <w:jc w:val="both"/>
    </w:pPr>
    <w:rPr>
      <w:rFonts w:ascii="宋体" w:hAnsi="Times New Roman" w:cs="宋体"/>
      <w:kern w:val="0"/>
      <w:szCs w:val="21"/>
    </w:rPr>
  </w:style>
  <w:style w:type="paragraph" w:customStyle="1" w:styleId="a">
    <w:name w:val="字母编号列项（一级）"/>
    <w:uiPriority w:val="99"/>
    <w:rsid w:val="006958AA"/>
    <w:pPr>
      <w:numPr>
        <w:numId w:val="2"/>
      </w:numPr>
      <w:jc w:val="both"/>
    </w:pPr>
    <w:rPr>
      <w:rFonts w:ascii="宋体" w:hAnsi="Times New Roman" w:cs="宋体"/>
      <w:kern w:val="0"/>
      <w:szCs w:val="21"/>
    </w:rPr>
  </w:style>
  <w:style w:type="paragraph" w:customStyle="1" w:styleId="a1">
    <w:name w:val="编号列项（三级）"/>
    <w:uiPriority w:val="99"/>
    <w:rsid w:val="006958AA"/>
    <w:pPr>
      <w:numPr>
        <w:ilvl w:val="2"/>
        <w:numId w:val="2"/>
      </w:numPr>
    </w:pPr>
    <w:rPr>
      <w:rFonts w:ascii="宋体" w:hAnsi="Times New Roman" w:cs="宋体"/>
      <w:kern w:val="0"/>
      <w:szCs w:val="21"/>
    </w:rPr>
  </w:style>
  <w:style w:type="paragraph" w:customStyle="1" w:styleId="1">
    <w:name w:val="正文1"/>
    <w:uiPriority w:val="99"/>
    <w:rsid w:val="006958AA"/>
    <w:pPr>
      <w:jc w:val="both"/>
    </w:pPr>
    <w:rPr>
      <w:rFonts w:cs="Calibri"/>
      <w:szCs w:val="21"/>
    </w:rPr>
  </w:style>
  <w:style w:type="paragraph" w:customStyle="1" w:styleId="10">
    <w:name w:val="修订1"/>
    <w:hidden/>
    <w:uiPriority w:val="99"/>
    <w:semiHidden/>
    <w:rsid w:val="006958AA"/>
    <w:rPr>
      <w:rFonts w:cs="Calibri"/>
      <w:szCs w:val="21"/>
    </w:rPr>
  </w:style>
  <w:style w:type="paragraph" w:customStyle="1" w:styleId="2">
    <w:name w:val="修订2"/>
    <w:hidden/>
    <w:uiPriority w:val="99"/>
    <w:semiHidden/>
    <w:rsid w:val="006958AA"/>
    <w:rPr>
      <w:rFonts w:cs="Calibri"/>
      <w:szCs w:val="21"/>
    </w:rPr>
  </w:style>
  <w:style w:type="paragraph" w:customStyle="1" w:styleId="3">
    <w:name w:val="修订3"/>
    <w:hidden/>
    <w:uiPriority w:val="99"/>
    <w:semiHidden/>
    <w:rsid w:val="006958AA"/>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614</Words>
  <Characters>3500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Ljw</dc:creator>
  <cp:keywords/>
  <dc:description/>
  <cp:lastModifiedBy>CQICPA</cp:lastModifiedBy>
  <cp:revision>2</cp:revision>
  <cp:lastPrinted>2019-05-14T07:38:00Z</cp:lastPrinted>
  <dcterms:created xsi:type="dcterms:W3CDTF">2019-05-20T03:08:00Z</dcterms:created>
  <dcterms:modified xsi:type="dcterms:W3CDTF">2019-05-20T03:08:00Z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