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63E" w:rsidRDefault="00D44619" w:rsidP="00D44619">
      <w:pPr>
        <w:widowControl/>
        <w:shd w:val="clear" w:color="auto" w:fill="FFFFFF"/>
        <w:spacing w:line="525" w:lineRule="atLeast"/>
        <w:jc w:val="center"/>
        <w:outlineLvl w:val="0"/>
        <w:rPr>
          <w:rFonts w:ascii="仿宋" w:eastAsia="仿宋" w:hAnsi="仿宋" w:cs="宋体" w:hint="eastAsia"/>
          <w:b/>
          <w:bCs/>
          <w:color w:val="000000" w:themeColor="text1"/>
          <w:kern w:val="36"/>
          <w:sz w:val="36"/>
          <w:szCs w:val="36"/>
        </w:rPr>
      </w:pPr>
      <w:proofErr w:type="gramStart"/>
      <w:r w:rsidRPr="00EA563E">
        <w:rPr>
          <w:rFonts w:ascii="仿宋" w:eastAsia="仿宋" w:hAnsi="仿宋" w:cs="宋体" w:hint="eastAsia"/>
          <w:b/>
          <w:bCs/>
          <w:color w:val="000000" w:themeColor="text1"/>
          <w:kern w:val="36"/>
          <w:sz w:val="36"/>
          <w:szCs w:val="36"/>
        </w:rPr>
        <w:t>中评协关于</w:t>
      </w:r>
      <w:proofErr w:type="gramEnd"/>
      <w:r w:rsidRPr="00EA563E">
        <w:rPr>
          <w:rFonts w:ascii="仿宋" w:eastAsia="仿宋" w:hAnsi="仿宋" w:cs="宋体" w:hint="eastAsia"/>
          <w:b/>
          <w:bCs/>
          <w:color w:val="000000" w:themeColor="text1"/>
          <w:kern w:val="36"/>
          <w:sz w:val="36"/>
          <w:szCs w:val="36"/>
        </w:rPr>
        <w:t>印发</w:t>
      </w:r>
    </w:p>
    <w:p w:rsidR="00D44619" w:rsidRPr="00EA563E" w:rsidRDefault="00D44619" w:rsidP="00D44619">
      <w:pPr>
        <w:widowControl/>
        <w:shd w:val="clear" w:color="auto" w:fill="FFFFFF"/>
        <w:spacing w:line="525" w:lineRule="atLeast"/>
        <w:jc w:val="center"/>
        <w:outlineLvl w:val="0"/>
        <w:rPr>
          <w:rFonts w:ascii="仿宋" w:eastAsia="仿宋" w:hAnsi="仿宋" w:cs="宋体"/>
          <w:b/>
          <w:bCs/>
          <w:color w:val="000000" w:themeColor="text1"/>
          <w:kern w:val="36"/>
          <w:sz w:val="36"/>
          <w:szCs w:val="36"/>
        </w:rPr>
      </w:pPr>
      <w:r w:rsidRPr="00EA563E">
        <w:rPr>
          <w:rFonts w:ascii="仿宋" w:eastAsia="仿宋" w:hAnsi="仿宋" w:cs="宋体" w:hint="eastAsia"/>
          <w:b/>
          <w:bCs/>
          <w:color w:val="000000" w:themeColor="text1"/>
          <w:kern w:val="36"/>
          <w:sz w:val="36"/>
          <w:szCs w:val="36"/>
        </w:rPr>
        <w:t>《资产评估机构综合评价办法》的通知</w:t>
      </w:r>
    </w:p>
    <w:p w:rsidR="00D44619" w:rsidRPr="00EA563E" w:rsidRDefault="00D44619" w:rsidP="00D44619">
      <w:pPr>
        <w:widowControl/>
        <w:shd w:val="clear" w:color="auto" w:fill="FFFFFF"/>
        <w:spacing w:line="360" w:lineRule="atLeast"/>
        <w:ind w:firstLine="480"/>
        <w:jc w:val="center"/>
        <w:rPr>
          <w:rFonts w:ascii="仿宋" w:eastAsia="仿宋" w:hAnsi="仿宋" w:cs="宋体"/>
          <w:color w:val="000000"/>
          <w:kern w:val="0"/>
          <w:sz w:val="30"/>
          <w:szCs w:val="30"/>
        </w:rPr>
      </w:pPr>
    </w:p>
    <w:p w:rsidR="00D44619" w:rsidRPr="00EA563E" w:rsidRDefault="00D44619" w:rsidP="00D44619">
      <w:pPr>
        <w:widowControl/>
        <w:shd w:val="clear" w:color="auto" w:fill="FFFFFF"/>
        <w:spacing w:line="360" w:lineRule="atLeast"/>
        <w:ind w:firstLine="480"/>
        <w:jc w:val="center"/>
        <w:rPr>
          <w:rFonts w:ascii="仿宋" w:eastAsia="仿宋" w:hAnsi="仿宋" w:cs="宋体"/>
          <w:color w:val="000000"/>
          <w:kern w:val="0"/>
          <w:sz w:val="30"/>
          <w:szCs w:val="30"/>
        </w:rPr>
      </w:pP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〔2016〕7号</w:t>
      </w:r>
    </w:p>
    <w:p w:rsidR="00D44619" w:rsidRPr="00EA563E" w:rsidRDefault="00D44619" w:rsidP="00D44619">
      <w:pPr>
        <w:widowControl/>
        <w:shd w:val="clear" w:color="auto" w:fill="FFFFFF"/>
        <w:spacing w:line="360" w:lineRule="atLeast"/>
        <w:ind w:firstLine="480"/>
        <w:jc w:val="center"/>
        <w:rPr>
          <w:rFonts w:ascii="仿宋" w:eastAsia="仿宋" w:hAnsi="仿宋" w:cs="宋体"/>
          <w:color w:val="000000"/>
          <w:kern w:val="0"/>
          <w:sz w:val="30"/>
          <w:szCs w:val="30"/>
        </w:rPr>
      </w:pPr>
    </w:p>
    <w:p w:rsidR="00D44619" w:rsidRPr="00EA563E" w:rsidRDefault="00D44619" w:rsidP="00D44619">
      <w:pPr>
        <w:widowControl/>
        <w:shd w:val="clear" w:color="auto" w:fill="FFFFFF"/>
        <w:spacing w:line="360" w:lineRule="atLeast"/>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各省、自治区、直辖市、计划单列市资产评估协会（有关注册会计师协会）：</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为适应资产评估师职业资格制度改革需要，中国资产评估协会对《资产评估机构综合评价办法》（</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〔2014〕58号）进行了修订。修订后的《资产评估机构综合评价办法》已于2015年12月31日经中国资产评估协会第四届常务理事会第十次会议审议通过，现印发给你们，请遵照执行。</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附件：《资产评估机构综合评价办法》</w:t>
      </w:r>
    </w:p>
    <w:p w:rsidR="00D44619" w:rsidRPr="00EA563E" w:rsidRDefault="00D44619" w:rsidP="00D44619">
      <w:pPr>
        <w:widowControl/>
        <w:shd w:val="clear" w:color="auto" w:fill="FFFFFF"/>
        <w:spacing w:line="360" w:lineRule="atLeast"/>
        <w:ind w:firstLine="480"/>
        <w:jc w:val="right"/>
        <w:rPr>
          <w:rFonts w:ascii="仿宋" w:eastAsia="仿宋" w:hAnsi="仿宋" w:cs="宋体"/>
          <w:color w:val="000000"/>
          <w:kern w:val="0"/>
          <w:sz w:val="30"/>
          <w:szCs w:val="30"/>
        </w:rPr>
      </w:pPr>
      <w:r w:rsidRPr="00EA563E">
        <w:rPr>
          <w:rFonts w:ascii="宋体" w:eastAsia="宋体" w:hAnsi="宋体" w:cs="宋体" w:hint="eastAsia"/>
          <w:color w:val="000000"/>
          <w:kern w:val="0"/>
          <w:sz w:val="30"/>
          <w:szCs w:val="30"/>
        </w:rPr>
        <w:t>                                                                        </w:t>
      </w:r>
      <w:r w:rsidRPr="00EA563E">
        <w:rPr>
          <w:rFonts w:ascii="仿宋" w:eastAsia="仿宋" w:hAnsi="仿宋" w:cs="宋体" w:hint="eastAsia"/>
          <w:color w:val="000000"/>
          <w:kern w:val="0"/>
          <w:sz w:val="30"/>
          <w:szCs w:val="30"/>
        </w:rPr>
        <w:t xml:space="preserve"> 2016年2月</w:t>
      </w:r>
      <w:r w:rsidRPr="00EA563E">
        <w:rPr>
          <w:rFonts w:ascii="宋体" w:eastAsia="宋体" w:hAnsi="宋体" w:cs="宋体" w:hint="eastAsia"/>
          <w:color w:val="000000"/>
          <w:kern w:val="0"/>
          <w:sz w:val="30"/>
          <w:szCs w:val="30"/>
        </w:rPr>
        <w:t> </w:t>
      </w:r>
      <w:r w:rsidRPr="00EA563E">
        <w:rPr>
          <w:rFonts w:ascii="仿宋" w:eastAsia="仿宋" w:hAnsi="仿宋" w:cs="宋体" w:hint="eastAsia"/>
          <w:color w:val="000000"/>
          <w:kern w:val="0"/>
          <w:sz w:val="30"/>
          <w:szCs w:val="30"/>
        </w:rPr>
        <w:t>3日</w:t>
      </w:r>
    </w:p>
    <w:p w:rsidR="00D44619" w:rsidRDefault="00D44619" w:rsidP="00D44619">
      <w:pPr>
        <w:widowControl/>
        <w:shd w:val="clear" w:color="auto" w:fill="FFFFFF"/>
        <w:spacing w:line="360" w:lineRule="atLeast"/>
        <w:ind w:firstLine="480"/>
        <w:jc w:val="right"/>
        <w:rPr>
          <w:rFonts w:ascii="仿宋" w:eastAsia="仿宋" w:hAnsi="仿宋" w:cs="宋体" w:hint="eastAsia"/>
          <w:color w:val="000000"/>
          <w:kern w:val="0"/>
          <w:sz w:val="30"/>
          <w:szCs w:val="30"/>
        </w:rPr>
      </w:pPr>
    </w:p>
    <w:p w:rsidR="00EA563E" w:rsidRDefault="00EA563E" w:rsidP="00D44619">
      <w:pPr>
        <w:widowControl/>
        <w:shd w:val="clear" w:color="auto" w:fill="FFFFFF"/>
        <w:spacing w:line="360" w:lineRule="atLeast"/>
        <w:ind w:firstLine="480"/>
        <w:jc w:val="right"/>
        <w:rPr>
          <w:rFonts w:ascii="仿宋" w:eastAsia="仿宋" w:hAnsi="仿宋" w:cs="宋体" w:hint="eastAsia"/>
          <w:color w:val="000000"/>
          <w:kern w:val="0"/>
          <w:sz w:val="30"/>
          <w:szCs w:val="30"/>
        </w:rPr>
      </w:pPr>
    </w:p>
    <w:p w:rsidR="00EA563E" w:rsidRDefault="00EA563E" w:rsidP="00D44619">
      <w:pPr>
        <w:widowControl/>
        <w:shd w:val="clear" w:color="auto" w:fill="FFFFFF"/>
        <w:spacing w:line="360" w:lineRule="atLeast"/>
        <w:ind w:firstLine="480"/>
        <w:jc w:val="right"/>
        <w:rPr>
          <w:rFonts w:ascii="仿宋" w:eastAsia="仿宋" w:hAnsi="仿宋" w:cs="宋体" w:hint="eastAsia"/>
          <w:color w:val="000000"/>
          <w:kern w:val="0"/>
          <w:sz w:val="30"/>
          <w:szCs w:val="30"/>
        </w:rPr>
      </w:pPr>
    </w:p>
    <w:p w:rsidR="00EA563E" w:rsidRDefault="00EA563E" w:rsidP="00D44619">
      <w:pPr>
        <w:widowControl/>
        <w:shd w:val="clear" w:color="auto" w:fill="FFFFFF"/>
        <w:spacing w:line="360" w:lineRule="atLeast"/>
        <w:ind w:firstLine="480"/>
        <w:jc w:val="right"/>
        <w:rPr>
          <w:rFonts w:ascii="仿宋" w:eastAsia="仿宋" w:hAnsi="仿宋" w:cs="宋体" w:hint="eastAsia"/>
          <w:color w:val="000000"/>
          <w:kern w:val="0"/>
          <w:sz w:val="30"/>
          <w:szCs w:val="30"/>
        </w:rPr>
      </w:pPr>
    </w:p>
    <w:p w:rsidR="00EA563E" w:rsidRDefault="00EA563E" w:rsidP="00D44619">
      <w:pPr>
        <w:widowControl/>
        <w:shd w:val="clear" w:color="auto" w:fill="FFFFFF"/>
        <w:spacing w:line="360" w:lineRule="atLeast"/>
        <w:ind w:firstLine="480"/>
        <w:jc w:val="right"/>
        <w:rPr>
          <w:rFonts w:ascii="仿宋" w:eastAsia="仿宋" w:hAnsi="仿宋" w:cs="宋体" w:hint="eastAsia"/>
          <w:color w:val="000000"/>
          <w:kern w:val="0"/>
          <w:sz w:val="30"/>
          <w:szCs w:val="30"/>
        </w:rPr>
      </w:pPr>
    </w:p>
    <w:p w:rsidR="00EA563E" w:rsidRPr="00EA563E" w:rsidRDefault="00EA563E" w:rsidP="00D44619">
      <w:pPr>
        <w:widowControl/>
        <w:shd w:val="clear" w:color="auto" w:fill="FFFFFF"/>
        <w:spacing w:line="360" w:lineRule="atLeast"/>
        <w:ind w:firstLine="480"/>
        <w:jc w:val="right"/>
        <w:rPr>
          <w:rFonts w:ascii="仿宋" w:eastAsia="仿宋" w:hAnsi="仿宋" w:cs="宋体"/>
          <w:color w:val="000000"/>
          <w:kern w:val="0"/>
          <w:sz w:val="30"/>
          <w:szCs w:val="30"/>
        </w:rPr>
      </w:pPr>
    </w:p>
    <w:p w:rsidR="00D44619" w:rsidRPr="00EA563E" w:rsidRDefault="00D44619" w:rsidP="00D44619">
      <w:pPr>
        <w:widowControl/>
        <w:shd w:val="clear" w:color="auto" w:fill="FFFFFF"/>
        <w:spacing w:line="360" w:lineRule="atLeast"/>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lastRenderedPageBreak/>
        <w:t>附件</w:t>
      </w:r>
    </w:p>
    <w:p w:rsidR="00D44619" w:rsidRPr="00EA563E" w:rsidRDefault="00D44619" w:rsidP="00D44619">
      <w:pPr>
        <w:widowControl/>
        <w:shd w:val="clear" w:color="auto" w:fill="FFFFFF"/>
        <w:spacing w:line="360" w:lineRule="atLeast"/>
        <w:ind w:firstLine="482"/>
        <w:jc w:val="center"/>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资产评估机构综合评价办法</w:t>
      </w:r>
    </w:p>
    <w:p w:rsidR="00D44619" w:rsidRPr="00EA563E" w:rsidRDefault="00D44619" w:rsidP="00D44619">
      <w:pPr>
        <w:widowControl/>
        <w:shd w:val="clear" w:color="auto" w:fill="FFFFFF"/>
        <w:spacing w:line="360" w:lineRule="atLeast"/>
        <w:ind w:firstLine="480"/>
        <w:jc w:val="center"/>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（中国资产评估协会第四届常务理事会第十次会议通过）</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第一条</w:t>
      </w:r>
      <w:r w:rsidRPr="00EA563E">
        <w:rPr>
          <w:rFonts w:ascii="宋体" w:eastAsia="宋体" w:hAnsi="宋体" w:cs="宋体" w:hint="eastAsia"/>
          <w:b/>
          <w:bCs/>
          <w:color w:val="000000"/>
          <w:kern w:val="0"/>
          <w:sz w:val="30"/>
          <w:szCs w:val="30"/>
        </w:rPr>
        <w:t> </w:t>
      </w:r>
      <w:r w:rsidRPr="00EA563E">
        <w:rPr>
          <w:rFonts w:ascii="仿宋" w:eastAsia="仿宋" w:hAnsi="仿宋" w:cs="宋体" w:hint="eastAsia"/>
          <w:color w:val="000000"/>
          <w:kern w:val="0"/>
          <w:sz w:val="30"/>
          <w:szCs w:val="30"/>
        </w:rPr>
        <w:t>为规范资产评估机构（以下简称评估机构）评价行为，引导评估机构合理竞争，推动评估机构</w:t>
      </w:r>
      <w:proofErr w:type="gramStart"/>
      <w:r w:rsidRPr="00EA563E">
        <w:rPr>
          <w:rFonts w:ascii="仿宋" w:eastAsia="仿宋" w:hAnsi="仿宋" w:cs="宋体" w:hint="eastAsia"/>
          <w:color w:val="000000"/>
          <w:kern w:val="0"/>
          <w:sz w:val="30"/>
          <w:szCs w:val="30"/>
        </w:rPr>
        <w:t>做优做强做</w:t>
      </w:r>
      <w:proofErr w:type="gramEnd"/>
      <w:r w:rsidRPr="00EA563E">
        <w:rPr>
          <w:rFonts w:ascii="仿宋" w:eastAsia="仿宋" w:hAnsi="仿宋" w:cs="宋体" w:hint="eastAsia"/>
          <w:color w:val="000000"/>
          <w:kern w:val="0"/>
          <w:sz w:val="30"/>
          <w:szCs w:val="30"/>
        </w:rPr>
        <w:t>大，提升评估行业影响力，制定本办法。</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第二条</w:t>
      </w:r>
      <w:r w:rsidRPr="00EA563E">
        <w:rPr>
          <w:rFonts w:ascii="宋体" w:eastAsia="宋体" w:hAnsi="宋体" w:cs="宋体" w:hint="eastAsia"/>
          <w:b/>
          <w:bCs/>
          <w:color w:val="000000"/>
          <w:kern w:val="0"/>
          <w:sz w:val="30"/>
          <w:szCs w:val="30"/>
        </w:rPr>
        <w:t> </w:t>
      </w:r>
      <w:r w:rsidRPr="00EA563E">
        <w:rPr>
          <w:rFonts w:ascii="仿宋" w:eastAsia="仿宋" w:hAnsi="仿宋" w:cs="宋体" w:hint="eastAsia"/>
          <w:color w:val="000000"/>
          <w:kern w:val="0"/>
          <w:sz w:val="30"/>
          <w:szCs w:val="30"/>
        </w:rPr>
        <w:t>本办法所称的评估机构综合评价是根据一定的规则，在对反映评估机构执业状况的相关单项指标进行评分的基础上，按照各指标权重系数计算评估机构的综合得分，并根据得分情况公布评估机构综合评价前百家名单和有关单项指标前百家名单。</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本办法所称的资产评估师为经中国资产评估协会（以下简称</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）登记并在评估机构工作的资产评估师。</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第三条</w:t>
      </w:r>
      <w:r w:rsidRPr="00EA563E">
        <w:rPr>
          <w:rFonts w:ascii="宋体" w:eastAsia="宋体" w:hAnsi="宋体" w:cs="宋体" w:hint="eastAsia"/>
          <w:b/>
          <w:bCs/>
          <w:color w:val="000000"/>
          <w:kern w:val="0"/>
          <w:sz w:val="30"/>
          <w:szCs w:val="30"/>
        </w:rPr>
        <w:t> </w:t>
      </w:r>
      <w:r w:rsidRPr="00EA563E">
        <w:rPr>
          <w:rFonts w:ascii="仿宋" w:eastAsia="仿宋" w:hAnsi="仿宋" w:cs="宋体" w:hint="eastAsia"/>
          <w:color w:val="000000"/>
          <w:kern w:val="0"/>
          <w:sz w:val="30"/>
          <w:szCs w:val="30"/>
        </w:rPr>
        <w:t>评估机构综合评价遵循客观、科学、公开、公平、公正原则。</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第四条</w:t>
      </w:r>
      <w:r w:rsidRPr="00EA563E">
        <w:rPr>
          <w:rFonts w:ascii="宋体" w:eastAsia="宋体" w:hAnsi="宋体" w:cs="宋体" w:hint="eastAsia"/>
          <w:b/>
          <w:bCs/>
          <w:color w:val="000000"/>
          <w:kern w:val="0"/>
          <w:sz w:val="30"/>
          <w:szCs w:val="30"/>
        </w:rPr>
        <w:t> </w:t>
      </w:r>
      <w:proofErr w:type="gramStart"/>
      <w:r w:rsidRPr="00EA563E">
        <w:rPr>
          <w:rFonts w:ascii="仿宋" w:eastAsia="仿宋" w:hAnsi="仿宋" w:cs="宋体" w:hint="eastAsia"/>
          <w:color w:val="000000"/>
          <w:kern w:val="0"/>
          <w:sz w:val="30"/>
          <w:szCs w:val="30"/>
        </w:rPr>
        <w:t>中评协负责</w:t>
      </w:r>
      <w:proofErr w:type="gramEnd"/>
      <w:r w:rsidRPr="00EA563E">
        <w:rPr>
          <w:rFonts w:ascii="仿宋" w:eastAsia="仿宋" w:hAnsi="仿宋" w:cs="宋体" w:hint="eastAsia"/>
          <w:color w:val="000000"/>
          <w:kern w:val="0"/>
          <w:sz w:val="30"/>
          <w:szCs w:val="30"/>
        </w:rPr>
        <w:t>全国评估机构的综合评价工作。</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（一）制定评估机构的综合评价规则，组织实施全国评估机构的综合评价工作。</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（二）指导和监督各省、自治区、直辖市、计划单列市资产评估协会（以下简称“地方协会”）开展本地区评估机构的综合评价工作。</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（三）组织专家研究设定指标权重系数。</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第五条</w:t>
      </w:r>
      <w:r w:rsidRPr="00EA563E">
        <w:rPr>
          <w:rFonts w:ascii="宋体" w:eastAsia="宋体" w:hAnsi="宋体" w:cs="宋体" w:hint="eastAsia"/>
          <w:b/>
          <w:bCs/>
          <w:color w:val="000000"/>
          <w:kern w:val="0"/>
          <w:sz w:val="30"/>
          <w:szCs w:val="30"/>
        </w:rPr>
        <w:t> </w:t>
      </w:r>
      <w:r w:rsidRPr="00EA563E">
        <w:rPr>
          <w:rFonts w:ascii="仿宋" w:eastAsia="仿宋" w:hAnsi="仿宋" w:cs="宋体" w:hint="eastAsia"/>
          <w:color w:val="000000"/>
          <w:kern w:val="0"/>
          <w:sz w:val="30"/>
          <w:szCs w:val="30"/>
        </w:rPr>
        <w:t>综合评价工作每年开展一次，评价年度为上一年度，基准日为12月31日，每年6月按本办法规定公布评价结果。</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第六条</w:t>
      </w:r>
      <w:r w:rsidRPr="00EA563E">
        <w:rPr>
          <w:rFonts w:ascii="宋体" w:eastAsia="宋体" w:hAnsi="宋体" w:cs="宋体" w:hint="eastAsia"/>
          <w:color w:val="000000"/>
          <w:kern w:val="0"/>
          <w:sz w:val="30"/>
          <w:szCs w:val="30"/>
        </w:rPr>
        <w:t> </w:t>
      </w:r>
      <w:r w:rsidRPr="00EA563E">
        <w:rPr>
          <w:rFonts w:ascii="仿宋" w:eastAsia="仿宋" w:hAnsi="仿宋" w:cs="宋体" w:hint="eastAsia"/>
          <w:color w:val="000000"/>
          <w:kern w:val="0"/>
          <w:sz w:val="30"/>
          <w:szCs w:val="30"/>
        </w:rPr>
        <w:t>设立满1个会计年度的评估机构和合并新设、分立新设未满1个会计年度的评估机构应当参加综合评价。其中，采取总分公司经营模式的评估机构，分支机构各项指标合并入所属总公司；采取母子公司经营模式的评估机构，子公司各项指标合并入所属母公司，同时，子公司单独参加评价。</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第七条</w:t>
      </w:r>
      <w:r w:rsidRPr="00EA563E">
        <w:rPr>
          <w:rFonts w:ascii="宋体" w:eastAsia="宋体" w:hAnsi="宋体" w:cs="宋体" w:hint="eastAsia"/>
          <w:color w:val="000000"/>
          <w:kern w:val="0"/>
          <w:sz w:val="30"/>
          <w:szCs w:val="30"/>
        </w:rPr>
        <w:t> </w:t>
      </w:r>
      <w:r w:rsidRPr="00EA563E">
        <w:rPr>
          <w:rFonts w:ascii="仿宋" w:eastAsia="仿宋" w:hAnsi="仿宋" w:cs="宋体" w:hint="eastAsia"/>
          <w:color w:val="000000"/>
          <w:kern w:val="0"/>
          <w:sz w:val="30"/>
          <w:szCs w:val="30"/>
        </w:rPr>
        <w:t>综合评价选取评估机构的下列指标（附表1），采用平均值比较法计算单项指标得分：</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（一）年业务收入指标</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年业务收入是指</w:t>
      </w:r>
      <w:proofErr w:type="gramStart"/>
      <w:r w:rsidRPr="00EA563E">
        <w:rPr>
          <w:rFonts w:ascii="仿宋" w:eastAsia="仿宋" w:hAnsi="仿宋" w:cs="宋体" w:hint="eastAsia"/>
          <w:color w:val="000000"/>
          <w:kern w:val="0"/>
          <w:sz w:val="30"/>
          <w:szCs w:val="30"/>
        </w:rPr>
        <w:t>中评协行业</w:t>
      </w:r>
      <w:proofErr w:type="gramEnd"/>
      <w:r w:rsidRPr="00EA563E">
        <w:rPr>
          <w:rFonts w:ascii="仿宋" w:eastAsia="仿宋" w:hAnsi="仿宋" w:cs="宋体" w:hint="eastAsia"/>
          <w:color w:val="000000"/>
          <w:kern w:val="0"/>
          <w:sz w:val="30"/>
          <w:szCs w:val="30"/>
        </w:rPr>
        <w:t>信息平台评价年度基准日记载的评估机构全部业务收入。年业务收入指标得分=评估机构年业务收入÷参评评估机构年业务收入前100家平均值。</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（二）资产评估师数量指标</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资产评估师数量是指评估机构在</w:t>
      </w:r>
      <w:proofErr w:type="gramStart"/>
      <w:r w:rsidRPr="00EA563E">
        <w:rPr>
          <w:rFonts w:ascii="仿宋" w:eastAsia="仿宋" w:hAnsi="仿宋" w:cs="宋体" w:hint="eastAsia"/>
          <w:color w:val="000000"/>
          <w:kern w:val="0"/>
          <w:sz w:val="30"/>
          <w:szCs w:val="30"/>
        </w:rPr>
        <w:t>中评协行业</w:t>
      </w:r>
      <w:proofErr w:type="gramEnd"/>
      <w:r w:rsidRPr="00EA563E">
        <w:rPr>
          <w:rFonts w:ascii="仿宋" w:eastAsia="仿宋" w:hAnsi="仿宋" w:cs="宋体" w:hint="eastAsia"/>
          <w:color w:val="000000"/>
          <w:kern w:val="0"/>
          <w:sz w:val="30"/>
          <w:szCs w:val="30"/>
        </w:rPr>
        <w:t>信息平台评价年度基准日记载的资产评估师数量，同时综合考虑资深会员数量、金牌会员数量、专业新锐人才数量和完成继续教育的情况。资产评估师数量指标得分=评估机构资产评估师数量÷参评评估机构资产评估师数量前100家平均值。其中，资产评估师数量=（评价年度期初资产评估师数量+期末资产评估师数量）/2－未完成继续教育的评估师数量＋资深会员数量×3＋金牌会员数量×2＋专业新锐人才数量×2。</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（三）资产</w:t>
      </w:r>
      <w:proofErr w:type="gramStart"/>
      <w:r w:rsidRPr="00EA563E">
        <w:rPr>
          <w:rFonts w:ascii="仿宋" w:eastAsia="仿宋" w:hAnsi="仿宋" w:cs="宋体" w:hint="eastAsia"/>
          <w:b/>
          <w:bCs/>
          <w:color w:val="000000"/>
          <w:kern w:val="0"/>
          <w:sz w:val="30"/>
          <w:szCs w:val="30"/>
        </w:rPr>
        <w:t>评估师年人均收入</w:t>
      </w:r>
      <w:proofErr w:type="gramEnd"/>
      <w:r w:rsidRPr="00EA563E">
        <w:rPr>
          <w:rFonts w:ascii="仿宋" w:eastAsia="仿宋" w:hAnsi="仿宋" w:cs="宋体" w:hint="eastAsia"/>
          <w:b/>
          <w:bCs/>
          <w:color w:val="000000"/>
          <w:kern w:val="0"/>
          <w:sz w:val="30"/>
          <w:szCs w:val="30"/>
        </w:rPr>
        <w:t>指标</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资产</w:t>
      </w:r>
      <w:proofErr w:type="gramStart"/>
      <w:r w:rsidRPr="00EA563E">
        <w:rPr>
          <w:rFonts w:ascii="仿宋" w:eastAsia="仿宋" w:hAnsi="仿宋" w:cs="宋体" w:hint="eastAsia"/>
          <w:color w:val="000000"/>
          <w:kern w:val="0"/>
          <w:sz w:val="30"/>
          <w:szCs w:val="30"/>
        </w:rPr>
        <w:t>评估师年人均收入</w:t>
      </w:r>
      <w:proofErr w:type="gramEnd"/>
      <w:r w:rsidRPr="00EA563E">
        <w:rPr>
          <w:rFonts w:ascii="仿宋" w:eastAsia="仿宋" w:hAnsi="仿宋" w:cs="宋体" w:hint="eastAsia"/>
          <w:color w:val="000000"/>
          <w:kern w:val="0"/>
          <w:sz w:val="30"/>
          <w:szCs w:val="30"/>
        </w:rPr>
        <w:t>是指评估机构年业务收入与评估机构在</w:t>
      </w:r>
      <w:proofErr w:type="gramStart"/>
      <w:r w:rsidRPr="00EA563E">
        <w:rPr>
          <w:rFonts w:ascii="仿宋" w:eastAsia="仿宋" w:hAnsi="仿宋" w:cs="宋体" w:hint="eastAsia"/>
          <w:color w:val="000000"/>
          <w:kern w:val="0"/>
          <w:sz w:val="30"/>
          <w:szCs w:val="30"/>
        </w:rPr>
        <w:t>中评协行业</w:t>
      </w:r>
      <w:proofErr w:type="gramEnd"/>
      <w:r w:rsidRPr="00EA563E">
        <w:rPr>
          <w:rFonts w:ascii="仿宋" w:eastAsia="仿宋" w:hAnsi="仿宋" w:cs="宋体" w:hint="eastAsia"/>
          <w:color w:val="000000"/>
          <w:kern w:val="0"/>
          <w:sz w:val="30"/>
          <w:szCs w:val="30"/>
        </w:rPr>
        <w:t>信息平台评价年度期初、期末记载资产评估师数量的平均数的比值。资产</w:t>
      </w:r>
      <w:proofErr w:type="gramStart"/>
      <w:r w:rsidRPr="00EA563E">
        <w:rPr>
          <w:rFonts w:ascii="仿宋" w:eastAsia="仿宋" w:hAnsi="仿宋" w:cs="宋体" w:hint="eastAsia"/>
          <w:color w:val="000000"/>
          <w:kern w:val="0"/>
          <w:sz w:val="30"/>
          <w:szCs w:val="30"/>
        </w:rPr>
        <w:t>评估师年人均收入</w:t>
      </w:r>
      <w:proofErr w:type="gramEnd"/>
      <w:r w:rsidRPr="00EA563E">
        <w:rPr>
          <w:rFonts w:ascii="仿宋" w:eastAsia="仿宋" w:hAnsi="仿宋" w:cs="宋体" w:hint="eastAsia"/>
          <w:color w:val="000000"/>
          <w:kern w:val="0"/>
          <w:sz w:val="30"/>
          <w:szCs w:val="30"/>
        </w:rPr>
        <w:t>指标得分=评估机构资产</w:t>
      </w:r>
      <w:proofErr w:type="gramStart"/>
      <w:r w:rsidRPr="00EA563E">
        <w:rPr>
          <w:rFonts w:ascii="仿宋" w:eastAsia="仿宋" w:hAnsi="仿宋" w:cs="宋体" w:hint="eastAsia"/>
          <w:color w:val="000000"/>
          <w:kern w:val="0"/>
          <w:sz w:val="30"/>
          <w:szCs w:val="30"/>
        </w:rPr>
        <w:t>评估师年人均收入</w:t>
      </w:r>
      <w:proofErr w:type="gramEnd"/>
      <w:r w:rsidRPr="00EA563E">
        <w:rPr>
          <w:rFonts w:ascii="仿宋" w:eastAsia="仿宋" w:hAnsi="仿宋" w:cs="宋体" w:hint="eastAsia"/>
          <w:color w:val="000000"/>
          <w:kern w:val="0"/>
          <w:sz w:val="30"/>
          <w:szCs w:val="30"/>
        </w:rPr>
        <w:t>÷参评评估机构资产</w:t>
      </w:r>
      <w:proofErr w:type="gramStart"/>
      <w:r w:rsidRPr="00EA563E">
        <w:rPr>
          <w:rFonts w:ascii="仿宋" w:eastAsia="仿宋" w:hAnsi="仿宋" w:cs="宋体" w:hint="eastAsia"/>
          <w:color w:val="000000"/>
          <w:kern w:val="0"/>
          <w:sz w:val="30"/>
          <w:szCs w:val="30"/>
        </w:rPr>
        <w:t>评估师年人均收入</w:t>
      </w:r>
      <w:proofErr w:type="gramEnd"/>
      <w:r w:rsidRPr="00EA563E">
        <w:rPr>
          <w:rFonts w:ascii="仿宋" w:eastAsia="仿宋" w:hAnsi="仿宋" w:cs="宋体" w:hint="eastAsia"/>
          <w:color w:val="000000"/>
          <w:kern w:val="0"/>
          <w:sz w:val="30"/>
          <w:szCs w:val="30"/>
        </w:rPr>
        <w:t>前100家平均值。</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（四）资产评估</w:t>
      </w:r>
      <w:proofErr w:type="gramStart"/>
      <w:r w:rsidRPr="00EA563E">
        <w:rPr>
          <w:rFonts w:ascii="仿宋" w:eastAsia="仿宋" w:hAnsi="仿宋" w:cs="宋体" w:hint="eastAsia"/>
          <w:b/>
          <w:bCs/>
          <w:color w:val="000000"/>
          <w:kern w:val="0"/>
          <w:sz w:val="30"/>
          <w:szCs w:val="30"/>
        </w:rPr>
        <w:t>师平均</w:t>
      </w:r>
      <w:proofErr w:type="gramEnd"/>
      <w:r w:rsidRPr="00EA563E">
        <w:rPr>
          <w:rFonts w:ascii="仿宋" w:eastAsia="仿宋" w:hAnsi="仿宋" w:cs="宋体" w:hint="eastAsia"/>
          <w:b/>
          <w:bCs/>
          <w:color w:val="000000"/>
          <w:kern w:val="0"/>
          <w:sz w:val="30"/>
          <w:szCs w:val="30"/>
        </w:rPr>
        <w:t>执业年限指标</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资产评估</w:t>
      </w:r>
      <w:proofErr w:type="gramStart"/>
      <w:r w:rsidRPr="00EA563E">
        <w:rPr>
          <w:rFonts w:ascii="仿宋" w:eastAsia="仿宋" w:hAnsi="仿宋" w:cs="宋体" w:hint="eastAsia"/>
          <w:color w:val="000000"/>
          <w:kern w:val="0"/>
          <w:sz w:val="30"/>
          <w:szCs w:val="30"/>
        </w:rPr>
        <w:t>师平均</w:t>
      </w:r>
      <w:proofErr w:type="gramEnd"/>
      <w:r w:rsidRPr="00EA563E">
        <w:rPr>
          <w:rFonts w:ascii="仿宋" w:eastAsia="仿宋" w:hAnsi="仿宋" w:cs="宋体" w:hint="eastAsia"/>
          <w:color w:val="000000"/>
          <w:kern w:val="0"/>
          <w:sz w:val="30"/>
          <w:szCs w:val="30"/>
        </w:rPr>
        <w:t>执业年限是指评估机构在</w:t>
      </w:r>
      <w:proofErr w:type="gramStart"/>
      <w:r w:rsidRPr="00EA563E">
        <w:rPr>
          <w:rFonts w:ascii="仿宋" w:eastAsia="仿宋" w:hAnsi="仿宋" w:cs="宋体" w:hint="eastAsia"/>
          <w:color w:val="000000"/>
          <w:kern w:val="0"/>
          <w:sz w:val="30"/>
          <w:szCs w:val="30"/>
        </w:rPr>
        <w:t>中评协行业</w:t>
      </w:r>
      <w:proofErr w:type="gramEnd"/>
      <w:r w:rsidRPr="00EA563E">
        <w:rPr>
          <w:rFonts w:ascii="仿宋" w:eastAsia="仿宋" w:hAnsi="仿宋" w:cs="宋体" w:hint="eastAsia"/>
          <w:color w:val="000000"/>
          <w:kern w:val="0"/>
          <w:sz w:val="30"/>
          <w:szCs w:val="30"/>
        </w:rPr>
        <w:t>信息平台评价年度基准日记载的资产评估师的平均登记时间。资产评估</w:t>
      </w:r>
      <w:proofErr w:type="gramStart"/>
      <w:r w:rsidRPr="00EA563E">
        <w:rPr>
          <w:rFonts w:ascii="仿宋" w:eastAsia="仿宋" w:hAnsi="仿宋" w:cs="宋体" w:hint="eastAsia"/>
          <w:color w:val="000000"/>
          <w:kern w:val="0"/>
          <w:sz w:val="30"/>
          <w:szCs w:val="30"/>
        </w:rPr>
        <w:t>师平均</w:t>
      </w:r>
      <w:proofErr w:type="gramEnd"/>
      <w:r w:rsidRPr="00EA563E">
        <w:rPr>
          <w:rFonts w:ascii="仿宋" w:eastAsia="仿宋" w:hAnsi="仿宋" w:cs="宋体" w:hint="eastAsia"/>
          <w:color w:val="000000"/>
          <w:kern w:val="0"/>
          <w:sz w:val="30"/>
          <w:szCs w:val="30"/>
        </w:rPr>
        <w:t>执业年限指标得分=评估机构资产评估</w:t>
      </w:r>
      <w:proofErr w:type="gramStart"/>
      <w:r w:rsidRPr="00EA563E">
        <w:rPr>
          <w:rFonts w:ascii="仿宋" w:eastAsia="仿宋" w:hAnsi="仿宋" w:cs="宋体" w:hint="eastAsia"/>
          <w:color w:val="000000"/>
          <w:kern w:val="0"/>
          <w:sz w:val="30"/>
          <w:szCs w:val="30"/>
        </w:rPr>
        <w:t>师平均</w:t>
      </w:r>
      <w:proofErr w:type="gramEnd"/>
      <w:r w:rsidRPr="00EA563E">
        <w:rPr>
          <w:rFonts w:ascii="仿宋" w:eastAsia="仿宋" w:hAnsi="仿宋" w:cs="宋体" w:hint="eastAsia"/>
          <w:color w:val="000000"/>
          <w:kern w:val="0"/>
          <w:sz w:val="30"/>
          <w:szCs w:val="30"/>
        </w:rPr>
        <w:t>执业年限÷参评评估机构资产评估</w:t>
      </w:r>
      <w:proofErr w:type="gramStart"/>
      <w:r w:rsidRPr="00EA563E">
        <w:rPr>
          <w:rFonts w:ascii="仿宋" w:eastAsia="仿宋" w:hAnsi="仿宋" w:cs="宋体" w:hint="eastAsia"/>
          <w:color w:val="000000"/>
          <w:kern w:val="0"/>
          <w:sz w:val="30"/>
          <w:szCs w:val="30"/>
        </w:rPr>
        <w:t>师平均</w:t>
      </w:r>
      <w:proofErr w:type="gramEnd"/>
      <w:r w:rsidRPr="00EA563E">
        <w:rPr>
          <w:rFonts w:ascii="仿宋" w:eastAsia="仿宋" w:hAnsi="仿宋" w:cs="宋体" w:hint="eastAsia"/>
          <w:color w:val="000000"/>
          <w:kern w:val="0"/>
          <w:sz w:val="30"/>
          <w:szCs w:val="30"/>
        </w:rPr>
        <w:t>执业年限前100家平均值。</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（五）人才培养指标</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人才培养是指评估机构在评价年度内人才培养方面的投入和取得的成绩。人才培养指标得分=评估机构人才培养得分÷参评评估机构人才培养得分前100家平均值。</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（六）执业质量指标</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执业质量是指评估机构在评价年度及前4年内评估机构和资产评估师受到行政处罚、自律惩戒的情况。评估机构的计分按对应年度评估机构计分标准规定分值（附表2）累计计算，资产</w:t>
      </w:r>
      <w:proofErr w:type="gramStart"/>
      <w:r w:rsidRPr="00EA563E">
        <w:rPr>
          <w:rFonts w:ascii="仿宋" w:eastAsia="仿宋" w:hAnsi="仿宋" w:cs="宋体" w:hint="eastAsia"/>
          <w:color w:val="000000"/>
          <w:kern w:val="0"/>
          <w:sz w:val="30"/>
          <w:szCs w:val="30"/>
        </w:rPr>
        <w:t>评估师每1人次</w:t>
      </w:r>
      <w:proofErr w:type="gramEnd"/>
      <w:r w:rsidRPr="00EA563E">
        <w:rPr>
          <w:rFonts w:ascii="仿宋" w:eastAsia="仿宋" w:hAnsi="仿宋" w:cs="宋体" w:hint="eastAsia"/>
          <w:color w:val="000000"/>
          <w:kern w:val="0"/>
          <w:sz w:val="30"/>
          <w:szCs w:val="30"/>
        </w:rPr>
        <w:t>计分为评估机构计分标准规定分值的50%累计计算。执业质量指标得分=（100-Σ对应年度受处罚或惩戒的相关分值）/参评评估机构执业质量得分前100家平均值。</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（七）行业贡献指标</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行业贡献是指评估机构及资产评估师在评价年度内</w:t>
      </w:r>
      <w:proofErr w:type="gramStart"/>
      <w:r w:rsidRPr="00EA563E">
        <w:rPr>
          <w:rFonts w:ascii="仿宋" w:eastAsia="仿宋" w:hAnsi="仿宋" w:cs="宋体" w:hint="eastAsia"/>
          <w:color w:val="000000"/>
          <w:kern w:val="0"/>
          <w:sz w:val="30"/>
          <w:szCs w:val="30"/>
        </w:rPr>
        <w:t>参加中评协和地方协会</w:t>
      </w:r>
      <w:proofErr w:type="gramEnd"/>
      <w:r w:rsidRPr="00EA563E">
        <w:rPr>
          <w:rFonts w:ascii="仿宋" w:eastAsia="仿宋" w:hAnsi="仿宋" w:cs="宋体" w:hint="eastAsia"/>
          <w:color w:val="000000"/>
          <w:kern w:val="0"/>
          <w:sz w:val="30"/>
          <w:szCs w:val="30"/>
        </w:rPr>
        <w:t>组织的行业建设活动情况，受到表彰情况，以及</w:t>
      </w:r>
      <w:proofErr w:type="gramStart"/>
      <w:r w:rsidRPr="00EA563E">
        <w:rPr>
          <w:rFonts w:ascii="仿宋" w:eastAsia="仿宋" w:hAnsi="仿宋" w:cs="宋体" w:hint="eastAsia"/>
          <w:color w:val="000000"/>
          <w:kern w:val="0"/>
          <w:sz w:val="30"/>
          <w:szCs w:val="30"/>
        </w:rPr>
        <w:t>在中评协和地方协会</w:t>
      </w:r>
      <w:proofErr w:type="gramEnd"/>
      <w:r w:rsidRPr="00EA563E">
        <w:rPr>
          <w:rFonts w:ascii="仿宋" w:eastAsia="仿宋" w:hAnsi="仿宋" w:cs="宋体" w:hint="eastAsia"/>
          <w:color w:val="000000"/>
          <w:kern w:val="0"/>
          <w:sz w:val="30"/>
          <w:szCs w:val="30"/>
        </w:rPr>
        <w:t>担任理事等职务并发挥积极作用的情况。行业贡献指标得分=评估机构行业贡献得分÷参评评估机构行业贡献得分前100家平均值。</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第八条</w:t>
      </w:r>
      <w:r w:rsidRPr="00EA563E">
        <w:rPr>
          <w:rFonts w:ascii="宋体" w:eastAsia="宋体" w:hAnsi="宋体" w:cs="宋体" w:hint="eastAsia"/>
          <w:color w:val="000000"/>
          <w:kern w:val="0"/>
          <w:sz w:val="30"/>
          <w:szCs w:val="30"/>
        </w:rPr>
        <w:t> </w:t>
      </w:r>
      <w:r w:rsidRPr="00EA563E">
        <w:rPr>
          <w:rFonts w:ascii="仿宋" w:eastAsia="仿宋" w:hAnsi="仿宋" w:cs="宋体" w:hint="eastAsia"/>
          <w:color w:val="000000"/>
          <w:kern w:val="0"/>
          <w:sz w:val="30"/>
          <w:szCs w:val="30"/>
        </w:rPr>
        <w:t>综合评价的参评评估机构均设基础分100分，评估机构综合评价得分为100+Σ单项评价指标得分×权重系数。指标权重系数范围见附表1，</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秘书处根据行业发展的需要，每年组织专家打分确定各指标权重系数并公布。</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第九条</w:t>
      </w:r>
      <w:r w:rsidRPr="00EA563E">
        <w:rPr>
          <w:rFonts w:ascii="宋体" w:eastAsia="宋体" w:hAnsi="宋体" w:cs="宋体" w:hint="eastAsia"/>
          <w:color w:val="000000"/>
          <w:kern w:val="0"/>
          <w:sz w:val="30"/>
          <w:szCs w:val="30"/>
        </w:rPr>
        <w:t> </w:t>
      </w:r>
      <w:r w:rsidRPr="00EA563E">
        <w:rPr>
          <w:rFonts w:ascii="仿宋" w:eastAsia="仿宋" w:hAnsi="仿宋" w:cs="宋体" w:hint="eastAsia"/>
          <w:color w:val="000000"/>
          <w:kern w:val="0"/>
          <w:sz w:val="30"/>
          <w:szCs w:val="30"/>
        </w:rPr>
        <w:t>综合评价得分的计算公式如下：</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综合评价得分=100+年业务收入指标得分×W1+资产评估师数量指标得分×W2+资产</w:t>
      </w:r>
      <w:proofErr w:type="gramStart"/>
      <w:r w:rsidRPr="00EA563E">
        <w:rPr>
          <w:rFonts w:ascii="仿宋" w:eastAsia="仿宋" w:hAnsi="仿宋" w:cs="宋体" w:hint="eastAsia"/>
          <w:color w:val="000000"/>
          <w:kern w:val="0"/>
          <w:sz w:val="30"/>
          <w:szCs w:val="30"/>
        </w:rPr>
        <w:t>评估师年人均收入</w:t>
      </w:r>
      <w:proofErr w:type="gramEnd"/>
      <w:r w:rsidRPr="00EA563E">
        <w:rPr>
          <w:rFonts w:ascii="仿宋" w:eastAsia="仿宋" w:hAnsi="仿宋" w:cs="宋体" w:hint="eastAsia"/>
          <w:color w:val="000000"/>
          <w:kern w:val="0"/>
          <w:sz w:val="30"/>
          <w:szCs w:val="30"/>
        </w:rPr>
        <w:t>指标得分×W3+资产评估</w:t>
      </w:r>
      <w:proofErr w:type="gramStart"/>
      <w:r w:rsidRPr="00EA563E">
        <w:rPr>
          <w:rFonts w:ascii="仿宋" w:eastAsia="仿宋" w:hAnsi="仿宋" w:cs="宋体" w:hint="eastAsia"/>
          <w:color w:val="000000"/>
          <w:kern w:val="0"/>
          <w:sz w:val="30"/>
          <w:szCs w:val="30"/>
        </w:rPr>
        <w:t>师平均</w:t>
      </w:r>
      <w:proofErr w:type="gramEnd"/>
      <w:r w:rsidRPr="00EA563E">
        <w:rPr>
          <w:rFonts w:ascii="仿宋" w:eastAsia="仿宋" w:hAnsi="仿宋" w:cs="宋体" w:hint="eastAsia"/>
          <w:color w:val="000000"/>
          <w:kern w:val="0"/>
          <w:sz w:val="30"/>
          <w:szCs w:val="30"/>
        </w:rPr>
        <w:t>执业年限指标得分×W4+人才培养指标得分×W5+执业质量指标得分×W6+行业贡献指标得分×W7（其中，W1，W2……W7为对应指标的权重系数，合计为100）。</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第十条</w:t>
      </w:r>
      <w:r w:rsidRPr="00EA563E">
        <w:rPr>
          <w:rFonts w:ascii="宋体" w:eastAsia="宋体" w:hAnsi="宋体" w:cs="宋体" w:hint="eastAsia"/>
          <w:color w:val="000000"/>
          <w:kern w:val="0"/>
          <w:sz w:val="30"/>
          <w:szCs w:val="30"/>
        </w:rPr>
        <w:t> </w:t>
      </w:r>
      <w:r w:rsidRPr="00EA563E">
        <w:rPr>
          <w:rFonts w:ascii="仿宋" w:eastAsia="仿宋" w:hAnsi="仿宋" w:cs="宋体" w:hint="eastAsia"/>
          <w:color w:val="000000"/>
          <w:kern w:val="0"/>
          <w:sz w:val="30"/>
          <w:szCs w:val="30"/>
        </w:rPr>
        <w:t>综合评价按下列程序进行：</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（一）评估机构于每年3月31日之前，将综合评价所需信息报地方协会。</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（二）地方协会于每年4月30日之前，将评估机构填报的信息经核实、汇总后报中评协。</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（三）每年6月30日之前，</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将评估机构综合评价前百家名单和有关单项指标前百家名单在</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网站予以公示，公示期10天。在公示期内，参评评估机构及相关方面可以</w:t>
      </w:r>
      <w:proofErr w:type="gramStart"/>
      <w:r w:rsidRPr="00EA563E">
        <w:rPr>
          <w:rFonts w:ascii="仿宋" w:eastAsia="仿宋" w:hAnsi="仿宋" w:cs="宋体" w:hint="eastAsia"/>
          <w:color w:val="000000"/>
          <w:kern w:val="0"/>
          <w:sz w:val="30"/>
          <w:szCs w:val="30"/>
        </w:rPr>
        <w:t>向中评协和地方协会</w:t>
      </w:r>
      <w:proofErr w:type="gramEnd"/>
      <w:r w:rsidRPr="00EA563E">
        <w:rPr>
          <w:rFonts w:ascii="仿宋" w:eastAsia="仿宋" w:hAnsi="仿宋" w:cs="宋体" w:hint="eastAsia"/>
          <w:color w:val="000000"/>
          <w:kern w:val="0"/>
          <w:sz w:val="30"/>
          <w:szCs w:val="30"/>
        </w:rPr>
        <w:t>反映情况。</w:t>
      </w:r>
    </w:p>
    <w:p w:rsidR="00D44619" w:rsidRPr="00EA563E" w:rsidRDefault="00D44619" w:rsidP="00D44619">
      <w:pPr>
        <w:widowControl/>
        <w:shd w:val="clear" w:color="auto" w:fill="FFFFFF"/>
        <w:spacing w:line="360" w:lineRule="atLeast"/>
        <w:ind w:firstLine="480"/>
        <w:jc w:val="left"/>
        <w:rPr>
          <w:rFonts w:ascii="仿宋" w:eastAsia="仿宋" w:hAnsi="仿宋" w:cs="宋体"/>
          <w:color w:val="000000"/>
          <w:kern w:val="0"/>
          <w:sz w:val="30"/>
          <w:szCs w:val="30"/>
        </w:rPr>
      </w:pPr>
      <w:r w:rsidRPr="00EA563E">
        <w:rPr>
          <w:rFonts w:ascii="仿宋" w:eastAsia="仿宋" w:hAnsi="仿宋" w:cs="宋体" w:hint="eastAsia"/>
          <w:color w:val="000000"/>
          <w:kern w:val="0"/>
          <w:sz w:val="30"/>
          <w:szCs w:val="30"/>
        </w:rPr>
        <w:t>（四）公示期满且无异议，或对提出的异议进行核实并修正相关信息后，</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将在</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网站和有关媒体上正式公告评估机构综合评价前百家名单和评估机构年业务收入、关联业务收入等有关单项指标前百家名单。</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第十一条</w:t>
      </w:r>
      <w:r w:rsidRPr="00EA563E">
        <w:rPr>
          <w:rFonts w:ascii="宋体" w:eastAsia="宋体" w:hAnsi="宋体" w:cs="宋体" w:hint="eastAsia"/>
          <w:color w:val="000000"/>
          <w:kern w:val="0"/>
          <w:sz w:val="30"/>
          <w:szCs w:val="30"/>
        </w:rPr>
        <w:t> </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对不按规定及时上报参评信息的评估机构，视情节轻重予以行业自律惩戒；对填报不实信息的评估机构，一经查实，取消当年参评资格，并计入诚信档案。</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第十二条</w:t>
      </w:r>
      <w:r w:rsidRPr="00EA563E">
        <w:rPr>
          <w:rFonts w:ascii="宋体" w:eastAsia="宋体" w:hAnsi="宋体" w:cs="宋体" w:hint="eastAsia"/>
          <w:color w:val="000000"/>
          <w:kern w:val="0"/>
          <w:sz w:val="30"/>
          <w:szCs w:val="30"/>
        </w:rPr>
        <w:t> </w:t>
      </w:r>
      <w:r w:rsidRPr="00EA563E">
        <w:rPr>
          <w:rFonts w:ascii="仿宋" w:eastAsia="仿宋" w:hAnsi="仿宋" w:cs="宋体" w:hint="eastAsia"/>
          <w:color w:val="000000"/>
          <w:kern w:val="0"/>
          <w:sz w:val="30"/>
          <w:szCs w:val="30"/>
        </w:rPr>
        <w:t>各地</w:t>
      </w:r>
      <w:proofErr w:type="gramStart"/>
      <w:r w:rsidRPr="00EA563E">
        <w:rPr>
          <w:rFonts w:ascii="仿宋" w:eastAsia="仿宋" w:hAnsi="仿宋" w:cs="宋体" w:hint="eastAsia"/>
          <w:color w:val="000000"/>
          <w:kern w:val="0"/>
          <w:sz w:val="30"/>
          <w:szCs w:val="30"/>
        </w:rPr>
        <w:t>方协会</w:t>
      </w:r>
      <w:proofErr w:type="gramEnd"/>
      <w:r w:rsidRPr="00EA563E">
        <w:rPr>
          <w:rFonts w:ascii="仿宋" w:eastAsia="仿宋" w:hAnsi="仿宋" w:cs="宋体" w:hint="eastAsia"/>
          <w:color w:val="000000"/>
          <w:kern w:val="0"/>
          <w:sz w:val="30"/>
          <w:szCs w:val="30"/>
        </w:rPr>
        <w:t>应对参评评估机构上报材料进行认真核实和汇总，做到客观公正。地方协会不能按时上报评估机构参评信息等情况，应向</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提交书面说明。</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第十三条</w:t>
      </w:r>
      <w:r w:rsidRPr="00EA563E">
        <w:rPr>
          <w:rFonts w:ascii="宋体" w:eastAsia="宋体" w:hAnsi="宋体" w:cs="宋体" w:hint="eastAsia"/>
          <w:color w:val="000000"/>
          <w:kern w:val="0"/>
          <w:sz w:val="30"/>
          <w:szCs w:val="30"/>
        </w:rPr>
        <w:t> </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授权地方协会参照本办法评价体系，对本地区评估机构进行综合评价、排名，同时报</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备案。</w:t>
      </w:r>
    </w:p>
    <w:p w:rsidR="00D44619" w:rsidRPr="00EA563E" w:rsidRDefault="00D44619" w:rsidP="00D44619">
      <w:pPr>
        <w:widowControl/>
        <w:shd w:val="clear" w:color="auto" w:fill="FFFFFF"/>
        <w:spacing w:line="360" w:lineRule="atLeast"/>
        <w:ind w:firstLine="482"/>
        <w:jc w:val="left"/>
        <w:rPr>
          <w:rFonts w:ascii="仿宋" w:eastAsia="仿宋" w:hAnsi="仿宋" w:cs="宋体"/>
          <w:color w:val="000000"/>
          <w:kern w:val="0"/>
          <w:sz w:val="30"/>
          <w:szCs w:val="30"/>
        </w:rPr>
      </w:pPr>
      <w:r w:rsidRPr="00EA563E">
        <w:rPr>
          <w:rFonts w:ascii="仿宋" w:eastAsia="仿宋" w:hAnsi="仿宋" w:cs="宋体" w:hint="eastAsia"/>
          <w:b/>
          <w:bCs/>
          <w:color w:val="000000"/>
          <w:kern w:val="0"/>
          <w:sz w:val="30"/>
          <w:szCs w:val="30"/>
        </w:rPr>
        <w:t>第十四条</w:t>
      </w:r>
      <w:r w:rsidRPr="00EA563E">
        <w:rPr>
          <w:rFonts w:ascii="宋体" w:eastAsia="宋体" w:hAnsi="宋体" w:cs="宋体" w:hint="eastAsia"/>
          <w:color w:val="000000"/>
          <w:kern w:val="0"/>
          <w:sz w:val="30"/>
          <w:szCs w:val="30"/>
        </w:rPr>
        <w:t> </w:t>
      </w:r>
      <w:r w:rsidRPr="00EA563E">
        <w:rPr>
          <w:rFonts w:ascii="仿宋" w:eastAsia="仿宋" w:hAnsi="仿宋" w:cs="宋体" w:hint="eastAsia"/>
          <w:color w:val="000000"/>
          <w:kern w:val="0"/>
          <w:sz w:val="30"/>
          <w:szCs w:val="30"/>
        </w:rPr>
        <w:t>本办法自发布之日起实施，2014年3月28日印发的《资产评估机构综合评价办法》（</w:t>
      </w:r>
      <w:proofErr w:type="gramStart"/>
      <w:r w:rsidRPr="00EA563E">
        <w:rPr>
          <w:rFonts w:ascii="仿宋" w:eastAsia="仿宋" w:hAnsi="仿宋" w:cs="宋体" w:hint="eastAsia"/>
          <w:color w:val="000000"/>
          <w:kern w:val="0"/>
          <w:sz w:val="30"/>
          <w:szCs w:val="30"/>
        </w:rPr>
        <w:t>中评协</w:t>
      </w:r>
      <w:proofErr w:type="gramEnd"/>
      <w:r w:rsidRPr="00EA563E">
        <w:rPr>
          <w:rFonts w:ascii="仿宋" w:eastAsia="仿宋" w:hAnsi="仿宋" w:cs="宋体" w:hint="eastAsia"/>
          <w:color w:val="000000"/>
          <w:kern w:val="0"/>
          <w:sz w:val="30"/>
          <w:szCs w:val="30"/>
        </w:rPr>
        <w:t>〔2014〕58号）同时废止。</w:t>
      </w:r>
    </w:p>
    <w:p w:rsidR="00D44619" w:rsidRPr="00EA563E" w:rsidRDefault="00D44619" w:rsidP="001A2FD4">
      <w:pPr>
        <w:widowControl/>
        <w:shd w:val="clear" w:color="auto" w:fill="FFFFFF"/>
        <w:ind w:left="600" w:hangingChars="200" w:hanging="600"/>
        <w:jc w:val="left"/>
        <w:rPr>
          <w:rFonts w:ascii="仿宋" w:eastAsia="仿宋" w:hAnsi="仿宋" w:cs="宋体"/>
          <w:kern w:val="0"/>
          <w:sz w:val="30"/>
          <w:szCs w:val="30"/>
        </w:rPr>
      </w:pPr>
      <w:r w:rsidRPr="00EA563E">
        <w:rPr>
          <w:rFonts w:ascii="仿宋" w:eastAsia="仿宋" w:hAnsi="仿宋" w:cs="宋体" w:hint="eastAsia"/>
          <w:color w:val="000000"/>
          <w:kern w:val="0"/>
          <w:sz w:val="30"/>
          <w:szCs w:val="30"/>
        </w:rPr>
        <w:br/>
      </w:r>
      <w:r w:rsidRPr="00EA563E">
        <w:rPr>
          <w:rFonts w:ascii="仿宋" w:eastAsia="仿宋" w:hAnsi="仿宋" w:cs="宋体" w:hint="eastAsia"/>
          <w:kern w:val="0"/>
          <w:sz w:val="30"/>
          <w:szCs w:val="30"/>
        </w:rPr>
        <w:t>附件</w:t>
      </w:r>
      <w:r w:rsidR="00EA563E" w:rsidRPr="00EA563E">
        <w:rPr>
          <w:rFonts w:ascii="仿宋" w:eastAsia="仿宋" w:hAnsi="仿宋" w:cs="宋体" w:hint="eastAsia"/>
          <w:kern w:val="0"/>
          <w:sz w:val="30"/>
          <w:szCs w:val="30"/>
        </w:rPr>
        <w:t>１：</w:t>
      </w:r>
      <w:r w:rsidRPr="00EA563E">
        <w:rPr>
          <w:rFonts w:ascii="仿宋" w:eastAsia="仿宋" w:hAnsi="仿宋" w:cs="宋体" w:hint="eastAsia"/>
          <w:kern w:val="0"/>
          <w:sz w:val="30"/>
          <w:szCs w:val="30"/>
        </w:rPr>
        <w:t>综合评价指标及权重系数表</w:t>
      </w:r>
    </w:p>
    <w:p w:rsidR="00BA5883" w:rsidRPr="00EA563E" w:rsidRDefault="00EA563E" w:rsidP="001A2FD4">
      <w:pPr>
        <w:widowControl/>
        <w:shd w:val="clear" w:color="auto" w:fill="FFFFFF"/>
        <w:ind w:firstLineChars="200" w:firstLine="600"/>
        <w:jc w:val="left"/>
        <w:rPr>
          <w:rFonts w:ascii="仿宋" w:eastAsia="仿宋" w:hAnsi="仿宋" w:cs="宋体"/>
          <w:kern w:val="0"/>
          <w:sz w:val="30"/>
          <w:szCs w:val="30"/>
        </w:rPr>
      </w:pPr>
      <w:bookmarkStart w:id="0" w:name="_GoBack"/>
      <w:bookmarkEnd w:id="0"/>
      <w:r w:rsidRPr="00EA563E">
        <w:rPr>
          <w:rFonts w:ascii="仿宋" w:eastAsia="仿宋" w:hAnsi="仿宋" w:cs="宋体" w:hint="eastAsia"/>
          <w:kern w:val="0"/>
          <w:sz w:val="30"/>
          <w:szCs w:val="30"/>
        </w:rPr>
        <w:t>附件</w:t>
      </w:r>
      <w:r w:rsidR="00D44619" w:rsidRPr="00EA563E">
        <w:rPr>
          <w:rFonts w:ascii="仿宋" w:eastAsia="仿宋" w:hAnsi="仿宋" w:cs="宋体" w:hint="eastAsia"/>
          <w:kern w:val="0"/>
          <w:sz w:val="30"/>
          <w:szCs w:val="30"/>
        </w:rPr>
        <w:t>2：执业质量减分标准</w:t>
      </w:r>
    </w:p>
    <w:sectPr w:rsidR="00BA5883" w:rsidRPr="00EA56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D4C" w:rsidRDefault="00DB5D4C" w:rsidP="00EA563E">
      <w:r>
        <w:separator/>
      </w:r>
    </w:p>
  </w:endnote>
  <w:endnote w:type="continuationSeparator" w:id="0">
    <w:p w:rsidR="00DB5D4C" w:rsidRDefault="00DB5D4C" w:rsidP="00EA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D4C" w:rsidRDefault="00DB5D4C" w:rsidP="00EA563E">
      <w:r>
        <w:separator/>
      </w:r>
    </w:p>
  </w:footnote>
  <w:footnote w:type="continuationSeparator" w:id="0">
    <w:p w:rsidR="00DB5D4C" w:rsidRDefault="00DB5D4C" w:rsidP="00EA56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AF3810"/>
    <w:multiLevelType w:val="multilevel"/>
    <w:tmpl w:val="126E5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E43"/>
    <w:rsid w:val="001A2FD4"/>
    <w:rsid w:val="002A4E43"/>
    <w:rsid w:val="00BA5883"/>
    <w:rsid w:val="00D44619"/>
    <w:rsid w:val="00DB5D4C"/>
    <w:rsid w:val="00EA5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4461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44619"/>
    <w:rPr>
      <w:rFonts w:ascii="宋体" w:eastAsia="宋体" w:hAnsi="宋体" w:cs="宋体"/>
      <w:b/>
      <w:bCs/>
      <w:kern w:val="36"/>
      <w:sz w:val="48"/>
      <w:szCs w:val="48"/>
    </w:rPr>
  </w:style>
  <w:style w:type="character" w:customStyle="1" w:styleId="apple-converted-space">
    <w:name w:val="apple-converted-space"/>
    <w:basedOn w:val="a0"/>
    <w:rsid w:val="00D44619"/>
  </w:style>
  <w:style w:type="character" w:styleId="a3">
    <w:name w:val="Hyperlink"/>
    <w:basedOn w:val="a0"/>
    <w:uiPriority w:val="99"/>
    <w:semiHidden/>
    <w:unhideWhenUsed/>
    <w:rsid w:val="00D44619"/>
    <w:rPr>
      <w:color w:val="0000FF"/>
      <w:u w:val="single"/>
    </w:rPr>
  </w:style>
  <w:style w:type="paragraph" w:styleId="a4">
    <w:name w:val="Date"/>
    <w:basedOn w:val="a"/>
    <w:next w:val="a"/>
    <w:link w:val="Char"/>
    <w:uiPriority w:val="99"/>
    <w:semiHidden/>
    <w:unhideWhenUsed/>
    <w:rsid w:val="00D44619"/>
    <w:pPr>
      <w:ind w:leftChars="2500" w:left="100"/>
    </w:pPr>
  </w:style>
  <w:style w:type="character" w:customStyle="1" w:styleId="Char">
    <w:name w:val="日期 Char"/>
    <w:basedOn w:val="a0"/>
    <w:link w:val="a4"/>
    <w:uiPriority w:val="99"/>
    <w:semiHidden/>
    <w:rsid w:val="00D44619"/>
  </w:style>
  <w:style w:type="paragraph" w:styleId="a5">
    <w:name w:val="header"/>
    <w:basedOn w:val="a"/>
    <w:link w:val="Char0"/>
    <w:uiPriority w:val="99"/>
    <w:unhideWhenUsed/>
    <w:rsid w:val="00EA563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A563E"/>
    <w:rPr>
      <w:sz w:val="18"/>
      <w:szCs w:val="18"/>
    </w:rPr>
  </w:style>
  <w:style w:type="paragraph" w:styleId="a6">
    <w:name w:val="footer"/>
    <w:basedOn w:val="a"/>
    <w:link w:val="Char1"/>
    <w:uiPriority w:val="99"/>
    <w:unhideWhenUsed/>
    <w:rsid w:val="00EA563E"/>
    <w:pPr>
      <w:tabs>
        <w:tab w:val="center" w:pos="4153"/>
        <w:tab w:val="right" w:pos="8306"/>
      </w:tabs>
      <w:snapToGrid w:val="0"/>
      <w:jc w:val="left"/>
    </w:pPr>
    <w:rPr>
      <w:sz w:val="18"/>
      <w:szCs w:val="18"/>
    </w:rPr>
  </w:style>
  <w:style w:type="character" w:customStyle="1" w:styleId="Char1">
    <w:name w:val="页脚 Char"/>
    <w:basedOn w:val="a0"/>
    <w:link w:val="a6"/>
    <w:uiPriority w:val="99"/>
    <w:rsid w:val="00EA563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4461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44619"/>
    <w:rPr>
      <w:rFonts w:ascii="宋体" w:eastAsia="宋体" w:hAnsi="宋体" w:cs="宋体"/>
      <w:b/>
      <w:bCs/>
      <w:kern w:val="36"/>
      <w:sz w:val="48"/>
      <w:szCs w:val="48"/>
    </w:rPr>
  </w:style>
  <w:style w:type="character" w:customStyle="1" w:styleId="apple-converted-space">
    <w:name w:val="apple-converted-space"/>
    <w:basedOn w:val="a0"/>
    <w:rsid w:val="00D44619"/>
  </w:style>
  <w:style w:type="character" w:styleId="a3">
    <w:name w:val="Hyperlink"/>
    <w:basedOn w:val="a0"/>
    <w:uiPriority w:val="99"/>
    <w:semiHidden/>
    <w:unhideWhenUsed/>
    <w:rsid w:val="00D44619"/>
    <w:rPr>
      <w:color w:val="0000FF"/>
      <w:u w:val="single"/>
    </w:rPr>
  </w:style>
  <w:style w:type="paragraph" w:styleId="a4">
    <w:name w:val="Date"/>
    <w:basedOn w:val="a"/>
    <w:next w:val="a"/>
    <w:link w:val="Char"/>
    <w:uiPriority w:val="99"/>
    <w:semiHidden/>
    <w:unhideWhenUsed/>
    <w:rsid w:val="00D44619"/>
    <w:pPr>
      <w:ind w:leftChars="2500" w:left="100"/>
    </w:pPr>
  </w:style>
  <w:style w:type="character" w:customStyle="1" w:styleId="Char">
    <w:name w:val="日期 Char"/>
    <w:basedOn w:val="a0"/>
    <w:link w:val="a4"/>
    <w:uiPriority w:val="99"/>
    <w:semiHidden/>
    <w:rsid w:val="00D44619"/>
  </w:style>
  <w:style w:type="paragraph" w:styleId="a5">
    <w:name w:val="header"/>
    <w:basedOn w:val="a"/>
    <w:link w:val="Char0"/>
    <w:uiPriority w:val="99"/>
    <w:unhideWhenUsed/>
    <w:rsid w:val="00EA563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A563E"/>
    <w:rPr>
      <w:sz w:val="18"/>
      <w:szCs w:val="18"/>
    </w:rPr>
  </w:style>
  <w:style w:type="paragraph" w:styleId="a6">
    <w:name w:val="footer"/>
    <w:basedOn w:val="a"/>
    <w:link w:val="Char1"/>
    <w:uiPriority w:val="99"/>
    <w:unhideWhenUsed/>
    <w:rsid w:val="00EA563E"/>
    <w:pPr>
      <w:tabs>
        <w:tab w:val="center" w:pos="4153"/>
        <w:tab w:val="right" w:pos="8306"/>
      </w:tabs>
      <w:snapToGrid w:val="0"/>
      <w:jc w:val="left"/>
    </w:pPr>
    <w:rPr>
      <w:sz w:val="18"/>
      <w:szCs w:val="18"/>
    </w:rPr>
  </w:style>
  <w:style w:type="character" w:customStyle="1" w:styleId="Char1">
    <w:name w:val="页脚 Char"/>
    <w:basedOn w:val="a0"/>
    <w:link w:val="a6"/>
    <w:uiPriority w:val="99"/>
    <w:rsid w:val="00EA56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401510">
      <w:bodyDiv w:val="1"/>
      <w:marLeft w:val="0"/>
      <w:marRight w:val="0"/>
      <w:marTop w:val="0"/>
      <w:marBottom w:val="0"/>
      <w:divBdr>
        <w:top w:val="none" w:sz="0" w:space="0" w:color="auto"/>
        <w:left w:val="none" w:sz="0" w:space="0" w:color="auto"/>
        <w:bottom w:val="none" w:sz="0" w:space="0" w:color="auto"/>
        <w:right w:val="none" w:sz="0" w:space="0" w:color="auto"/>
      </w:divBdr>
      <w:divsChild>
        <w:div w:id="494030478">
          <w:marLeft w:val="0"/>
          <w:marRight w:val="0"/>
          <w:marTop w:val="150"/>
          <w:marBottom w:val="150"/>
          <w:divBdr>
            <w:top w:val="none" w:sz="0" w:space="0" w:color="auto"/>
            <w:left w:val="none" w:sz="0" w:space="0" w:color="auto"/>
            <w:bottom w:val="none" w:sz="0" w:space="0" w:color="auto"/>
            <w:right w:val="none" w:sz="0" w:space="0" w:color="auto"/>
          </w:divBdr>
        </w:div>
        <w:div w:id="821196705">
          <w:marLeft w:val="0"/>
          <w:marRight w:val="0"/>
          <w:marTop w:val="0"/>
          <w:marBottom w:val="0"/>
          <w:divBdr>
            <w:top w:val="none" w:sz="0" w:space="0" w:color="auto"/>
            <w:left w:val="none" w:sz="0" w:space="0" w:color="auto"/>
            <w:bottom w:val="none" w:sz="0" w:space="0" w:color="auto"/>
            <w:right w:val="none" w:sz="0" w:space="0" w:color="auto"/>
          </w:divBdr>
        </w:div>
        <w:div w:id="255135318">
          <w:marLeft w:val="0"/>
          <w:marRight w:val="0"/>
          <w:marTop w:val="0"/>
          <w:marBottom w:val="0"/>
          <w:divBdr>
            <w:top w:val="none" w:sz="0" w:space="0" w:color="auto"/>
            <w:left w:val="none" w:sz="0" w:space="0" w:color="auto"/>
            <w:bottom w:val="none" w:sz="0" w:space="0" w:color="auto"/>
            <w:right w:val="none" w:sz="0" w:space="0" w:color="auto"/>
          </w:divBdr>
        </w:div>
        <w:div w:id="2102558314">
          <w:marLeft w:val="0"/>
          <w:marRight w:val="0"/>
          <w:marTop w:val="0"/>
          <w:marBottom w:val="0"/>
          <w:divBdr>
            <w:top w:val="none" w:sz="0" w:space="0" w:color="auto"/>
            <w:left w:val="none" w:sz="0" w:space="0" w:color="auto"/>
            <w:bottom w:val="none" w:sz="0" w:space="0" w:color="auto"/>
            <w:right w:val="none" w:sz="0" w:space="0" w:color="auto"/>
          </w:divBdr>
        </w:div>
        <w:div w:id="1700278137">
          <w:marLeft w:val="0"/>
          <w:marRight w:val="0"/>
          <w:marTop w:val="0"/>
          <w:marBottom w:val="0"/>
          <w:divBdr>
            <w:top w:val="none" w:sz="0" w:space="0" w:color="auto"/>
            <w:left w:val="none" w:sz="0" w:space="0" w:color="auto"/>
            <w:bottom w:val="none" w:sz="0" w:space="0" w:color="auto"/>
            <w:right w:val="none" w:sz="0" w:space="0" w:color="auto"/>
          </w:divBdr>
        </w:div>
        <w:div w:id="1126511226">
          <w:marLeft w:val="0"/>
          <w:marRight w:val="0"/>
          <w:marTop w:val="0"/>
          <w:marBottom w:val="0"/>
          <w:divBdr>
            <w:top w:val="none" w:sz="0" w:space="0" w:color="auto"/>
            <w:left w:val="none" w:sz="0" w:space="0" w:color="auto"/>
            <w:bottom w:val="none" w:sz="0" w:space="0" w:color="auto"/>
            <w:right w:val="none" w:sz="0" w:space="0" w:color="auto"/>
          </w:divBdr>
        </w:div>
        <w:div w:id="2086417087">
          <w:marLeft w:val="0"/>
          <w:marRight w:val="0"/>
          <w:marTop w:val="0"/>
          <w:marBottom w:val="0"/>
          <w:divBdr>
            <w:top w:val="none" w:sz="0" w:space="0" w:color="auto"/>
            <w:left w:val="none" w:sz="0" w:space="0" w:color="auto"/>
            <w:bottom w:val="none" w:sz="0" w:space="0" w:color="auto"/>
            <w:right w:val="none" w:sz="0" w:space="0" w:color="auto"/>
          </w:divBdr>
        </w:div>
        <w:div w:id="1502086632">
          <w:marLeft w:val="0"/>
          <w:marRight w:val="0"/>
          <w:marTop w:val="0"/>
          <w:marBottom w:val="0"/>
          <w:divBdr>
            <w:top w:val="none" w:sz="0" w:space="0" w:color="auto"/>
            <w:left w:val="none" w:sz="0" w:space="0" w:color="auto"/>
            <w:bottom w:val="none" w:sz="0" w:space="0" w:color="auto"/>
            <w:right w:val="none" w:sz="0" w:space="0" w:color="auto"/>
          </w:divBdr>
        </w:div>
        <w:div w:id="316690013">
          <w:marLeft w:val="0"/>
          <w:marRight w:val="0"/>
          <w:marTop w:val="0"/>
          <w:marBottom w:val="0"/>
          <w:divBdr>
            <w:top w:val="none" w:sz="0" w:space="0" w:color="auto"/>
            <w:left w:val="none" w:sz="0" w:space="0" w:color="auto"/>
            <w:bottom w:val="none" w:sz="0" w:space="0" w:color="auto"/>
            <w:right w:val="none" w:sz="0" w:space="0" w:color="auto"/>
          </w:divBdr>
        </w:div>
        <w:div w:id="1635286094">
          <w:marLeft w:val="0"/>
          <w:marRight w:val="0"/>
          <w:marTop w:val="0"/>
          <w:marBottom w:val="0"/>
          <w:divBdr>
            <w:top w:val="none" w:sz="0" w:space="0" w:color="auto"/>
            <w:left w:val="none" w:sz="0" w:space="0" w:color="auto"/>
            <w:bottom w:val="none" w:sz="0" w:space="0" w:color="auto"/>
            <w:right w:val="none" w:sz="0" w:space="0" w:color="auto"/>
          </w:divBdr>
        </w:div>
        <w:div w:id="1898666649">
          <w:marLeft w:val="0"/>
          <w:marRight w:val="0"/>
          <w:marTop w:val="0"/>
          <w:marBottom w:val="0"/>
          <w:divBdr>
            <w:top w:val="none" w:sz="0" w:space="0" w:color="auto"/>
            <w:left w:val="none" w:sz="0" w:space="0" w:color="auto"/>
            <w:bottom w:val="none" w:sz="0" w:space="0" w:color="auto"/>
            <w:right w:val="none" w:sz="0" w:space="0" w:color="auto"/>
          </w:divBdr>
        </w:div>
        <w:div w:id="1223712443">
          <w:marLeft w:val="0"/>
          <w:marRight w:val="0"/>
          <w:marTop w:val="0"/>
          <w:marBottom w:val="0"/>
          <w:divBdr>
            <w:top w:val="none" w:sz="0" w:space="0" w:color="auto"/>
            <w:left w:val="none" w:sz="0" w:space="0" w:color="auto"/>
            <w:bottom w:val="none" w:sz="0" w:space="0" w:color="auto"/>
            <w:right w:val="none" w:sz="0" w:space="0" w:color="auto"/>
          </w:divBdr>
        </w:div>
        <w:div w:id="1593854595">
          <w:marLeft w:val="0"/>
          <w:marRight w:val="0"/>
          <w:marTop w:val="0"/>
          <w:marBottom w:val="0"/>
          <w:divBdr>
            <w:top w:val="none" w:sz="0" w:space="0" w:color="auto"/>
            <w:left w:val="none" w:sz="0" w:space="0" w:color="auto"/>
            <w:bottom w:val="none" w:sz="0" w:space="0" w:color="auto"/>
            <w:right w:val="none" w:sz="0" w:space="0" w:color="auto"/>
          </w:divBdr>
        </w:div>
        <w:div w:id="638458403">
          <w:marLeft w:val="0"/>
          <w:marRight w:val="0"/>
          <w:marTop w:val="0"/>
          <w:marBottom w:val="0"/>
          <w:divBdr>
            <w:top w:val="none" w:sz="0" w:space="0" w:color="auto"/>
            <w:left w:val="none" w:sz="0" w:space="0" w:color="auto"/>
            <w:bottom w:val="none" w:sz="0" w:space="0" w:color="auto"/>
            <w:right w:val="none" w:sz="0" w:space="0" w:color="auto"/>
          </w:divBdr>
        </w:div>
        <w:div w:id="848982066">
          <w:marLeft w:val="0"/>
          <w:marRight w:val="0"/>
          <w:marTop w:val="0"/>
          <w:marBottom w:val="0"/>
          <w:divBdr>
            <w:top w:val="none" w:sz="0" w:space="0" w:color="auto"/>
            <w:left w:val="none" w:sz="0" w:space="0" w:color="auto"/>
            <w:bottom w:val="none" w:sz="0" w:space="0" w:color="auto"/>
            <w:right w:val="none" w:sz="0" w:space="0" w:color="auto"/>
          </w:divBdr>
        </w:div>
        <w:div w:id="1183861320">
          <w:marLeft w:val="0"/>
          <w:marRight w:val="0"/>
          <w:marTop w:val="0"/>
          <w:marBottom w:val="0"/>
          <w:divBdr>
            <w:top w:val="none" w:sz="0" w:space="0" w:color="auto"/>
            <w:left w:val="none" w:sz="0" w:space="0" w:color="auto"/>
            <w:bottom w:val="none" w:sz="0" w:space="0" w:color="auto"/>
            <w:right w:val="none" w:sz="0" w:space="0" w:color="auto"/>
          </w:divBdr>
        </w:div>
        <w:div w:id="1061513290">
          <w:marLeft w:val="0"/>
          <w:marRight w:val="0"/>
          <w:marTop w:val="0"/>
          <w:marBottom w:val="0"/>
          <w:divBdr>
            <w:top w:val="none" w:sz="0" w:space="0" w:color="auto"/>
            <w:left w:val="none" w:sz="0" w:space="0" w:color="auto"/>
            <w:bottom w:val="none" w:sz="0" w:space="0" w:color="auto"/>
            <w:right w:val="none" w:sz="0" w:space="0" w:color="auto"/>
          </w:divBdr>
        </w:div>
        <w:div w:id="122040333">
          <w:marLeft w:val="0"/>
          <w:marRight w:val="0"/>
          <w:marTop w:val="0"/>
          <w:marBottom w:val="0"/>
          <w:divBdr>
            <w:top w:val="none" w:sz="0" w:space="0" w:color="auto"/>
            <w:left w:val="none" w:sz="0" w:space="0" w:color="auto"/>
            <w:bottom w:val="none" w:sz="0" w:space="0" w:color="auto"/>
            <w:right w:val="none" w:sz="0" w:space="0" w:color="auto"/>
          </w:divBdr>
        </w:div>
        <w:div w:id="2044598578">
          <w:marLeft w:val="0"/>
          <w:marRight w:val="0"/>
          <w:marTop w:val="0"/>
          <w:marBottom w:val="0"/>
          <w:divBdr>
            <w:top w:val="none" w:sz="0" w:space="0" w:color="auto"/>
            <w:left w:val="none" w:sz="0" w:space="0" w:color="auto"/>
            <w:bottom w:val="none" w:sz="0" w:space="0" w:color="auto"/>
            <w:right w:val="none" w:sz="0" w:space="0" w:color="auto"/>
          </w:divBdr>
        </w:div>
        <w:div w:id="390227515">
          <w:marLeft w:val="0"/>
          <w:marRight w:val="0"/>
          <w:marTop w:val="0"/>
          <w:marBottom w:val="0"/>
          <w:divBdr>
            <w:top w:val="none" w:sz="0" w:space="0" w:color="auto"/>
            <w:left w:val="none" w:sz="0" w:space="0" w:color="auto"/>
            <w:bottom w:val="none" w:sz="0" w:space="0" w:color="auto"/>
            <w:right w:val="none" w:sz="0" w:space="0" w:color="auto"/>
          </w:divBdr>
        </w:div>
        <w:div w:id="161506904">
          <w:marLeft w:val="0"/>
          <w:marRight w:val="0"/>
          <w:marTop w:val="0"/>
          <w:marBottom w:val="0"/>
          <w:divBdr>
            <w:top w:val="none" w:sz="0" w:space="0" w:color="auto"/>
            <w:left w:val="none" w:sz="0" w:space="0" w:color="auto"/>
            <w:bottom w:val="none" w:sz="0" w:space="0" w:color="auto"/>
            <w:right w:val="none" w:sz="0" w:space="0" w:color="auto"/>
          </w:divBdr>
        </w:div>
        <w:div w:id="1806462346">
          <w:marLeft w:val="0"/>
          <w:marRight w:val="0"/>
          <w:marTop w:val="0"/>
          <w:marBottom w:val="0"/>
          <w:divBdr>
            <w:top w:val="none" w:sz="0" w:space="0" w:color="auto"/>
            <w:left w:val="none" w:sz="0" w:space="0" w:color="auto"/>
            <w:bottom w:val="none" w:sz="0" w:space="0" w:color="auto"/>
            <w:right w:val="none" w:sz="0" w:space="0" w:color="auto"/>
          </w:divBdr>
        </w:div>
        <w:div w:id="1621761932">
          <w:marLeft w:val="0"/>
          <w:marRight w:val="0"/>
          <w:marTop w:val="0"/>
          <w:marBottom w:val="0"/>
          <w:divBdr>
            <w:top w:val="none" w:sz="0" w:space="0" w:color="auto"/>
            <w:left w:val="none" w:sz="0" w:space="0" w:color="auto"/>
            <w:bottom w:val="none" w:sz="0" w:space="0" w:color="auto"/>
            <w:right w:val="none" w:sz="0" w:space="0" w:color="auto"/>
          </w:divBdr>
        </w:div>
        <w:div w:id="1396735939">
          <w:marLeft w:val="0"/>
          <w:marRight w:val="0"/>
          <w:marTop w:val="0"/>
          <w:marBottom w:val="0"/>
          <w:divBdr>
            <w:top w:val="none" w:sz="0" w:space="0" w:color="auto"/>
            <w:left w:val="none" w:sz="0" w:space="0" w:color="auto"/>
            <w:bottom w:val="none" w:sz="0" w:space="0" w:color="auto"/>
            <w:right w:val="none" w:sz="0" w:space="0" w:color="auto"/>
          </w:divBdr>
        </w:div>
        <w:div w:id="313527587">
          <w:marLeft w:val="0"/>
          <w:marRight w:val="0"/>
          <w:marTop w:val="0"/>
          <w:marBottom w:val="0"/>
          <w:divBdr>
            <w:top w:val="none" w:sz="0" w:space="0" w:color="auto"/>
            <w:left w:val="none" w:sz="0" w:space="0" w:color="auto"/>
            <w:bottom w:val="none" w:sz="0" w:space="0" w:color="auto"/>
            <w:right w:val="none" w:sz="0" w:space="0" w:color="auto"/>
          </w:divBdr>
        </w:div>
        <w:div w:id="114447238">
          <w:marLeft w:val="0"/>
          <w:marRight w:val="0"/>
          <w:marTop w:val="0"/>
          <w:marBottom w:val="0"/>
          <w:divBdr>
            <w:top w:val="none" w:sz="0" w:space="0" w:color="auto"/>
            <w:left w:val="none" w:sz="0" w:space="0" w:color="auto"/>
            <w:bottom w:val="none" w:sz="0" w:space="0" w:color="auto"/>
            <w:right w:val="none" w:sz="0" w:space="0" w:color="auto"/>
          </w:divBdr>
        </w:div>
        <w:div w:id="1624576653">
          <w:marLeft w:val="0"/>
          <w:marRight w:val="0"/>
          <w:marTop w:val="0"/>
          <w:marBottom w:val="0"/>
          <w:divBdr>
            <w:top w:val="none" w:sz="0" w:space="0" w:color="auto"/>
            <w:left w:val="none" w:sz="0" w:space="0" w:color="auto"/>
            <w:bottom w:val="none" w:sz="0" w:space="0" w:color="auto"/>
            <w:right w:val="none" w:sz="0" w:space="0" w:color="auto"/>
          </w:divBdr>
        </w:div>
        <w:div w:id="747117346">
          <w:marLeft w:val="0"/>
          <w:marRight w:val="0"/>
          <w:marTop w:val="0"/>
          <w:marBottom w:val="0"/>
          <w:divBdr>
            <w:top w:val="none" w:sz="0" w:space="0" w:color="auto"/>
            <w:left w:val="none" w:sz="0" w:space="0" w:color="auto"/>
            <w:bottom w:val="none" w:sz="0" w:space="0" w:color="auto"/>
            <w:right w:val="none" w:sz="0" w:space="0" w:color="auto"/>
          </w:divBdr>
        </w:div>
        <w:div w:id="1696689851">
          <w:marLeft w:val="0"/>
          <w:marRight w:val="0"/>
          <w:marTop w:val="0"/>
          <w:marBottom w:val="0"/>
          <w:divBdr>
            <w:top w:val="none" w:sz="0" w:space="0" w:color="auto"/>
            <w:left w:val="none" w:sz="0" w:space="0" w:color="auto"/>
            <w:bottom w:val="none" w:sz="0" w:space="0" w:color="auto"/>
            <w:right w:val="none" w:sz="0" w:space="0" w:color="auto"/>
          </w:divBdr>
        </w:div>
        <w:div w:id="807819180">
          <w:marLeft w:val="0"/>
          <w:marRight w:val="0"/>
          <w:marTop w:val="0"/>
          <w:marBottom w:val="0"/>
          <w:divBdr>
            <w:top w:val="none" w:sz="0" w:space="0" w:color="auto"/>
            <w:left w:val="none" w:sz="0" w:space="0" w:color="auto"/>
            <w:bottom w:val="none" w:sz="0" w:space="0" w:color="auto"/>
            <w:right w:val="none" w:sz="0" w:space="0" w:color="auto"/>
          </w:divBdr>
        </w:div>
        <w:div w:id="2037536538">
          <w:marLeft w:val="0"/>
          <w:marRight w:val="0"/>
          <w:marTop w:val="0"/>
          <w:marBottom w:val="0"/>
          <w:divBdr>
            <w:top w:val="none" w:sz="0" w:space="0" w:color="auto"/>
            <w:left w:val="none" w:sz="0" w:space="0" w:color="auto"/>
            <w:bottom w:val="none" w:sz="0" w:space="0" w:color="auto"/>
            <w:right w:val="none" w:sz="0" w:space="0" w:color="auto"/>
          </w:divBdr>
        </w:div>
        <w:div w:id="311301285">
          <w:marLeft w:val="0"/>
          <w:marRight w:val="0"/>
          <w:marTop w:val="0"/>
          <w:marBottom w:val="0"/>
          <w:divBdr>
            <w:top w:val="none" w:sz="0" w:space="0" w:color="auto"/>
            <w:left w:val="none" w:sz="0" w:space="0" w:color="auto"/>
            <w:bottom w:val="none" w:sz="0" w:space="0" w:color="auto"/>
            <w:right w:val="none" w:sz="0" w:space="0" w:color="auto"/>
          </w:divBdr>
        </w:div>
        <w:div w:id="11419405">
          <w:marLeft w:val="0"/>
          <w:marRight w:val="0"/>
          <w:marTop w:val="0"/>
          <w:marBottom w:val="0"/>
          <w:divBdr>
            <w:top w:val="none" w:sz="0" w:space="0" w:color="auto"/>
            <w:left w:val="none" w:sz="0" w:space="0" w:color="auto"/>
            <w:bottom w:val="none" w:sz="0" w:space="0" w:color="auto"/>
            <w:right w:val="none" w:sz="0" w:space="0" w:color="auto"/>
          </w:divBdr>
        </w:div>
        <w:div w:id="1861314521">
          <w:marLeft w:val="0"/>
          <w:marRight w:val="0"/>
          <w:marTop w:val="0"/>
          <w:marBottom w:val="0"/>
          <w:divBdr>
            <w:top w:val="none" w:sz="0" w:space="0" w:color="auto"/>
            <w:left w:val="none" w:sz="0" w:space="0" w:color="auto"/>
            <w:bottom w:val="none" w:sz="0" w:space="0" w:color="auto"/>
            <w:right w:val="none" w:sz="0" w:space="0" w:color="auto"/>
          </w:divBdr>
        </w:div>
        <w:div w:id="69273838">
          <w:marLeft w:val="0"/>
          <w:marRight w:val="0"/>
          <w:marTop w:val="0"/>
          <w:marBottom w:val="0"/>
          <w:divBdr>
            <w:top w:val="none" w:sz="0" w:space="0" w:color="auto"/>
            <w:left w:val="none" w:sz="0" w:space="0" w:color="auto"/>
            <w:bottom w:val="none" w:sz="0" w:space="0" w:color="auto"/>
            <w:right w:val="none" w:sz="0" w:space="0" w:color="auto"/>
          </w:divBdr>
        </w:div>
        <w:div w:id="605113000">
          <w:marLeft w:val="0"/>
          <w:marRight w:val="0"/>
          <w:marTop w:val="0"/>
          <w:marBottom w:val="0"/>
          <w:divBdr>
            <w:top w:val="none" w:sz="0" w:space="0" w:color="auto"/>
            <w:left w:val="none" w:sz="0" w:space="0" w:color="auto"/>
            <w:bottom w:val="none" w:sz="0" w:space="0" w:color="auto"/>
            <w:right w:val="none" w:sz="0" w:space="0" w:color="auto"/>
          </w:divBdr>
        </w:div>
        <w:div w:id="947543610">
          <w:marLeft w:val="0"/>
          <w:marRight w:val="0"/>
          <w:marTop w:val="0"/>
          <w:marBottom w:val="0"/>
          <w:divBdr>
            <w:top w:val="none" w:sz="0" w:space="0" w:color="auto"/>
            <w:left w:val="none" w:sz="0" w:space="0" w:color="auto"/>
            <w:bottom w:val="none" w:sz="0" w:space="0" w:color="auto"/>
            <w:right w:val="none" w:sz="0" w:space="0" w:color="auto"/>
          </w:divBdr>
        </w:div>
        <w:div w:id="90198383">
          <w:marLeft w:val="0"/>
          <w:marRight w:val="0"/>
          <w:marTop w:val="0"/>
          <w:marBottom w:val="0"/>
          <w:divBdr>
            <w:top w:val="none" w:sz="0" w:space="0" w:color="auto"/>
            <w:left w:val="none" w:sz="0" w:space="0" w:color="auto"/>
            <w:bottom w:val="none" w:sz="0" w:space="0" w:color="auto"/>
            <w:right w:val="none" w:sz="0" w:space="0" w:color="auto"/>
          </w:divBdr>
        </w:div>
        <w:div w:id="1077165957">
          <w:marLeft w:val="0"/>
          <w:marRight w:val="0"/>
          <w:marTop w:val="0"/>
          <w:marBottom w:val="0"/>
          <w:divBdr>
            <w:top w:val="none" w:sz="0" w:space="0" w:color="auto"/>
            <w:left w:val="none" w:sz="0" w:space="0" w:color="auto"/>
            <w:bottom w:val="none" w:sz="0" w:space="0" w:color="auto"/>
            <w:right w:val="none" w:sz="0" w:space="0" w:color="auto"/>
          </w:divBdr>
        </w:div>
        <w:div w:id="1721704563">
          <w:marLeft w:val="0"/>
          <w:marRight w:val="0"/>
          <w:marTop w:val="0"/>
          <w:marBottom w:val="0"/>
          <w:divBdr>
            <w:top w:val="none" w:sz="0" w:space="0" w:color="auto"/>
            <w:left w:val="none" w:sz="0" w:space="0" w:color="auto"/>
            <w:bottom w:val="none" w:sz="0" w:space="0" w:color="auto"/>
            <w:right w:val="none" w:sz="0" w:space="0" w:color="auto"/>
          </w:divBdr>
        </w:div>
        <w:div w:id="1960524212">
          <w:marLeft w:val="0"/>
          <w:marRight w:val="0"/>
          <w:marTop w:val="0"/>
          <w:marBottom w:val="0"/>
          <w:divBdr>
            <w:top w:val="none" w:sz="0" w:space="0" w:color="auto"/>
            <w:left w:val="none" w:sz="0" w:space="0" w:color="auto"/>
            <w:bottom w:val="none" w:sz="0" w:space="0" w:color="auto"/>
            <w:right w:val="none" w:sz="0" w:space="0" w:color="auto"/>
          </w:divBdr>
        </w:div>
        <w:div w:id="1323240675">
          <w:marLeft w:val="0"/>
          <w:marRight w:val="0"/>
          <w:marTop w:val="0"/>
          <w:marBottom w:val="0"/>
          <w:divBdr>
            <w:top w:val="none" w:sz="0" w:space="0" w:color="auto"/>
            <w:left w:val="none" w:sz="0" w:space="0" w:color="auto"/>
            <w:bottom w:val="none" w:sz="0" w:space="0" w:color="auto"/>
            <w:right w:val="none" w:sz="0" w:space="0" w:color="auto"/>
          </w:divBdr>
        </w:div>
        <w:div w:id="1932355887">
          <w:marLeft w:val="0"/>
          <w:marRight w:val="0"/>
          <w:marTop w:val="0"/>
          <w:marBottom w:val="0"/>
          <w:divBdr>
            <w:top w:val="none" w:sz="0" w:space="0" w:color="auto"/>
            <w:left w:val="none" w:sz="0" w:space="0" w:color="auto"/>
            <w:bottom w:val="none" w:sz="0" w:space="0" w:color="auto"/>
            <w:right w:val="none" w:sz="0" w:space="0" w:color="auto"/>
          </w:divBdr>
        </w:div>
        <w:div w:id="1950045391">
          <w:marLeft w:val="0"/>
          <w:marRight w:val="0"/>
          <w:marTop w:val="150"/>
          <w:marBottom w:val="9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418</Words>
  <Characters>2384</Characters>
  <Application>Microsoft Office Word</Application>
  <DocSecurity>0</DocSecurity>
  <Lines>19</Lines>
  <Paragraphs>5</Paragraphs>
  <ScaleCrop>false</ScaleCrop>
  <Company>china</Company>
  <LinksUpToDate>false</LinksUpToDate>
  <CharactersWithSpaces>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2016-02-23T06:31:00Z</dcterms:created>
  <dcterms:modified xsi:type="dcterms:W3CDTF">2016-02-24T02:41:00Z</dcterms:modified>
</cp:coreProperties>
</file>