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AC" w:rsidRPr="00453EAA" w:rsidRDefault="00D301AC" w:rsidP="00D301AC">
      <w:pPr>
        <w:jc w:val="left"/>
        <w:rPr>
          <w:rFonts w:ascii="仿宋_GB2312" w:eastAsia="仿宋_GB2312"/>
          <w:color w:val="000000" w:themeColor="text1"/>
          <w:szCs w:val="21"/>
        </w:rPr>
      </w:pPr>
      <w:r w:rsidRPr="00453EAA">
        <w:rPr>
          <w:rFonts w:ascii="仿宋_GB2312" w:eastAsia="仿宋_GB2312" w:hint="eastAsia"/>
          <w:color w:val="000000" w:themeColor="text1"/>
          <w:szCs w:val="21"/>
        </w:rPr>
        <w:t>附件1</w:t>
      </w:r>
    </w:p>
    <w:p w:rsidR="0066159C" w:rsidRPr="00721540" w:rsidRDefault="0066159C" w:rsidP="00453EAA">
      <w:pPr>
        <w:jc w:val="center"/>
        <w:rPr>
          <w:rFonts w:ascii="仿宋_GB2312" w:eastAsia="仿宋_GB2312"/>
          <w:b/>
          <w:color w:val="000000" w:themeColor="text1"/>
          <w:sz w:val="34"/>
          <w:szCs w:val="28"/>
        </w:rPr>
      </w:pPr>
      <w:bookmarkStart w:id="0" w:name="_GoBack"/>
      <w:r w:rsidRPr="00721540">
        <w:rPr>
          <w:rFonts w:ascii="仿宋_GB2312" w:eastAsia="仿宋_GB2312" w:hint="eastAsia"/>
          <w:b/>
          <w:color w:val="000000" w:themeColor="text1"/>
          <w:sz w:val="34"/>
          <w:szCs w:val="28"/>
        </w:rPr>
        <w:t>重庆市注册会计师、注册资产评估师行业</w:t>
      </w:r>
    </w:p>
    <w:p w:rsidR="005C4AF8" w:rsidRDefault="0066159C" w:rsidP="00453EAA">
      <w:pPr>
        <w:jc w:val="center"/>
        <w:rPr>
          <w:rFonts w:ascii="仿宋_GB2312" w:eastAsia="仿宋_GB2312"/>
          <w:b/>
          <w:color w:val="000000" w:themeColor="text1"/>
          <w:sz w:val="34"/>
          <w:szCs w:val="28"/>
        </w:rPr>
      </w:pPr>
      <w:r w:rsidRPr="00721540">
        <w:rPr>
          <w:rFonts w:ascii="仿宋_GB2312" w:eastAsia="仿宋_GB2312" w:hint="eastAsia"/>
          <w:b/>
          <w:color w:val="000000" w:themeColor="text1"/>
          <w:sz w:val="34"/>
          <w:szCs w:val="28"/>
        </w:rPr>
        <w:t>执业机构</w:t>
      </w:r>
      <w:r w:rsidR="00750E98" w:rsidRPr="00721540">
        <w:rPr>
          <w:rFonts w:ascii="仿宋_GB2312" w:eastAsia="仿宋_GB2312" w:hint="eastAsia"/>
          <w:b/>
          <w:color w:val="000000" w:themeColor="text1"/>
          <w:sz w:val="34"/>
          <w:szCs w:val="28"/>
        </w:rPr>
        <w:t>内部培训</w:t>
      </w:r>
      <w:r w:rsidR="000A574D" w:rsidRPr="00721540">
        <w:rPr>
          <w:rFonts w:ascii="仿宋_GB2312" w:eastAsia="仿宋_GB2312" w:hint="eastAsia"/>
          <w:b/>
          <w:color w:val="000000" w:themeColor="text1"/>
          <w:sz w:val="34"/>
          <w:szCs w:val="28"/>
        </w:rPr>
        <w:t>及送教上门</w:t>
      </w:r>
      <w:r w:rsidRPr="00721540">
        <w:rPr>
          <w:rFonts w:ascii="仿宋_GB2312" w:eastAsia="仿宋_GB2312" w:hint="eastAsia"/>
          <w:b/>
          <w:color w:val="000000" w:themeColor="text1"/>
          <w:sz w:val="34"/>
          <w:szCs w:val="28"/>
        </w:rPr>
        <w:t>管理实施细则</w:t>
      </w:r>
    </w:p>
    <w:bookmarkEnd w:id="0"/>
    <w:p w:rsidR="0066159C" w:rsidRPr="00721540" w:rsidRDefault="0066159C" w:rsidP="00DA6DB2">
      <w:pPr>
        <w:rPr>
          <w:rFonts w:ascii="仿宋_GB2312" w:eastAsia="仿宋_GB2312"/>
          <w:b/>
          <w:color w:val="000000" w:themeColor="text1"/>
          <w:sz w:val="28"/>
          <w:szCs w:val="28"/>
        </w:rPr>
      </w:pPr>
    </w:p>
    <w:p w:rsidR="00750E98" w:rsidRPr="00721540" w:rsidRDefault="0066159C" w:rsidP="00B52EF5">
      <w:pPr>
        <w:ind w:firstLineChars="200" w:firstLine="562"/>
        <w:rPr>
          <w:rFonts w:ascii="仿宋_GB2312" w:eastAsia="仿宋_GB2312"/>
          <w:color w:val="000000" w:themeColor="text1"/>
          <w:sz w:val="28"/>
          <w:szCs w:val="28"/>
        </w:rPr>
      </w:pPr>
      <w:r w:rsidRPr="00721540">
        <w:rPr>
          <w:rFonts w:ascii="仿宋_GB2312" w:eastAsia="仿宋_GB2312" w:hAnsi="楷体" w:hint="eastAsia"/>
          <w:b/>
          <w:color w:val="000000" w:themeColor="text1"/>
          <w:sz w:val="28"/>
          <w:szCs w:val="28"/>
        </w:rPr>
        <w:t xml:space="preserve">第一条  </w:t>
      </w:r>
      <w:r w:rsidR="00750E98" w:rsidRPr="00721540">
        <w:rPr>
          <w:rFonts w:ascii="仿宋_GB2312" w:eastAsia="仿宋_GB2312" w:hAnsi="宋体" w:cs="宋体" w:hint="eastAsia"/>
          <w:color w:val="000000" w:themeColor="text1"/>
          <w:kern w:val="0"/>
          <w:sz w:val="28"/>
          <w:szCs w:val="28"/>
        </w:rPr>
        <w:t>为加强重庆市注册会计师、注册资产评估师行业（以下简称“行业”）执业机构内部培训及送教上门的管理工作，</w:t>
      </w:r>
      <w:r w:rsidR="00817478" w:rsidRPr="00721540">
        <w:rPr>
          <w:rFonts w:ascii="仿宋_GB2312" w:eastAsia="仿宋_GB2312" w:hAnsi="宋体" w:cs="宋体" w:hint="eastAsia"/>
          <w:color w:val="000000" w:themeColor="text1"/>
          <w:kern w:val="0"/>
          <w:sz w:val="28"/>
          <w:szCs w:val="28"/>
        </w:rPr>
        <w:t>提高</w:t>
      </w:r>
      <w:r w:rsidR="000C613F" w:rsidRPr="00721540">
        <w:rPr>
          <w:rFonts w:ascii="仿宋_GB2312" w:eastAsia="仿宋_GB2312" w:hAnsi="宋体" w:cs="宋体" w:hint="eastAsia"/>
          <w:color w:val="000000" w:themeColor="text1"/>
          <w:kern w:val="0"/>
          <w:sz w:val="28"/>
          <w:szCs w:val="28"/>
        </w:rPr>
        <w:t>行业</w:t>
      </w:r>
      <w:r w:rsidR="00817478" w:rsidRPr="00721540">
        <w:rPr>
          <w:rFonts w:ascii="仿宋_GB2312" w:eastAsia="仿宋_GB2312" w:hAnsi="宋体" w:cs="宋体" w:hint="eastAsia"/>
          <w:color w:val="000000" w:themeColor="text1"/>
          <w:kern w:val="0"/>
          <w:sz w:val="28"/>
          <w:szCs w:val="28"/>
        </w:rPr>
        <w:t>人才培养工作的质量，</w:t>
      </w:r>
      <w:r w:rsidR="00750E98" w:rsidRPr="00721540">
        <w:rPr>
          <w:rFonts w:ascii="仿宋_GB2312" w:eastAsia="仿宋_GB2312" w:hAnsi="宋体" w:cs="宋体" w:hint="eastAsia"/>
          <w:color w:val="000000" w:themeColor="text1"/>
          <w:kern w:val="0"/>
          <w:sz w:val="28"/>
          <w:szCs w:val="28"/>
        </w:rPr>
        <w:t>根据</w:t>
      </w:r>
      <w:r w:rsidR="00750E98" w:rsidRPr="00721540">
        <w:rPr>
          <w:rFonts w:ascii="仿宋_GB2312" w:eastAsia="仿宋_GB2312" w:hint="eastAsia"/>
          <w:color w:val="000000" w:themeColor="text1"/>
          <w:sz w:val="28"/>
          <w:szCs w:val="28"/>
        </w:rPr>
        <w:t>重庆市注册会计师协会、重庆市资产评估协会（以下简称“协会”）制定发布的《重庆市注册会计师、注册资产评估师行业人才培养办法》</w:t>
      </w:r>
      <w:r w:rsidR="00B52EF5">
        <w:rPr>
          <w:rFonts w:ascii="仿宋_GB2312" w:eastAsia="仿宋_GB2312" w:hint="eastAsia"/>
          <w:color w:val="000000" w:themeColor="text1"/>
          <w:sz w:val="28"/>
          <w:szCs w:val="28"/>
        </w:rPr>
        <w:t>（</w:t>
      </w:r>
      <w:r w:rsidR="00B52EF5" w:rsidRPr="00B52EF5">
        <w:rPr>
          <w:rFonts w:ascii="仿宋_GB2312" w:eastAsia="仿宋_GB2312" w:hint="eastAsia"/>
          <w:color w:val="000000" w:themeColor="text1"/>
          <w:sz w:val="28"/>
          <w:szCs w:val="28"/>
        </w:rPr>
        <w:t>渝会协</w:t>
      </w:r>
      <w:r w:rsidR="00703D0A" w:rsidRPr="00703D0A">
        <w:rPr>
          <w:rFonts w:ascii="仿宋_GB2312" w:eastAsia="仿宋_GB2312" w:hint="eastAsia"/>
          <w:color w:val="000000" w:themeColor="text1"/>
          <w:sz w:val="28"/>
          <w:szCs w:val="28"/>
        </w:rPr>
        <w:t>〔</w:t>
      </w:r>
      <w:r w:rsidR="00FF2962">
        <w:rPr>
          <w:rFonts w:ascii="仿宋_GB2312" w:eastAsia="仿宋_GB2312" w:hint="eastAsia"/>
          <w:color w:val="000000" w:themeColor="text1"/>
          <w:sz w:val="28"/>
          <w:szCs w:val="28"/>
        </w:rPr>
        <w:t>2014</w:t>
      </w:r>
      <w:r w:rsidR="00FF2962" w:rsidRPr="00B52EF5">
        <w:rPr>
          <w:rFonts w:ascii="仿宋_GB2312" w:eastAsia="仿宋_GB2312" w:hint="eastAsia"/>
          <w:color w:val="000000" w:themeColor="text1"/>
          <w:sz w:val="28"/>
          <w:szCs w:val="28"/>
        </w:rPr>
        <w:t>〕</w:t>
      </w:r>
      <w:r w:rsidR="00B52EF5" w:rsidRPr="00B52EF5">
        <w:rPr>
          <w:rFonts w:ascii="仿宋_GB2312" w:eastAsia="仿宋_GB2312" w:hint="eastAsia"/>
          <w:color w:val="000000" w:themeColor="text1"/>
          <w:sz w:val="28"/>
          <w:szCs w:val="28"/>
        </w:rPr>
        <w:t>103号</w:t>
      </w:r>
      <w:r w:rsidR="00B52EF5">
        <w:rPr>
          <w:rFonts w:ascii="仿宋_GB2312" w:eastAsia="仿宋_GB2312" w:hint="eastAsia"/>
          <w:color w:val="000000" w:themeColor="text1"/>
          <w:sz w:val="28"/>
          <w:szCs w:val="28"/>
        </w:rPr>
        <w:t>）</w:t>
      </w:r>
      <w:r w:rsidR="00750E98" w:rsidRPr="00721540">
        <w:rPr>
          <w:rFonts w:ascii="仿宋_GB2312" w:eastAsia="仿宋_GB2312" w:hint="eastAsia"/>
          <w:color w:val="000000" w:themeColor="text1"/>
          <w:sz w:val="28"/>
          <w:szCs w:val="28"/>
        </w:rPr>
        <w:t>（以下简称“办法”）</w:t>
      </w:r>
      <w:r w:rsidR="00817478" w:rsidRPr="00721540">
        <w:rPr>
          <w:rFonts w:ascii="仿宋_GB2312" w:eastAsia="仿宋_GB2312" w:hint="eastAsia"/>
          <w:color w:val="000000" w:themeColor="text1"/>
          <w:sz w:val="28"/>
          <w:szCs w:val="28"/>
        </w:rPr>
        <w:t>及《重庆市注册会计师、注册资产评估师行业人才培养委员会工作规则》</w:t>
      </w:r>
      <w:r w:rsidR="00B52EF5">
        <w:rPr>
          <w:rFonts w:ascii="仿宋_GB2312" w:eastAsia="仿宋_GB2312" w:hint="eastAsia"/>
          <w:color w:val="000000" w:themeColor="text1"/>
          <w:sz w:val="28"/>
          <w:szCs w:val="28"/>
        </w:rPr>
        <w:t>（</w:t>
      </w:r>
      <w:r w:rsidR="00B52EF5" w:rsidRPr="00B52EF5">
        <w:rPr>
          <w:rFonts w:ascii="仿宋_GB2312" w:eastAsia="仿宋_GB2312" w:hint="eastAsia"/>
          <w:color w:val="000000" w:themeColor="text1"/>
          <w:sz w:val="28"/>
          <w:szCs w:val="28"/>
        </w:rPr>
        <w:t>渝会协〔2015〕84号</w:t>
      </w:r>
      <w:r w:rsidR="00B52EF5">
        <w:rPr>
          <w:rFonts w:ascii="仿宋_GB2312" w:eastAsia="仿宋_GB2312" w:hint="eastAsia"/>
          <w:color w:val="000000" w:themeColor="text1"/>
          <w:sz w:val="28"/>
          <w:szCs w:val="28"/>
        </w:rPr>
        <w:t>）</w:t>
      </w:r>
      <w:r w:rsidR="000C613F" w:rsidRPr="00721540">
        <w:rPr>
          <w:rFonts w:ascii="仿宋_GB2312" w:eastAsia="仿宋_GB2312" w:hint="eastAsia"/>
          <w:color w:val="000000" w:themeColor="text1"/>
          <w:sz w:val="28"/>
          <w:szCs w:val="28"/>
        </w:rPr>
        <w:t>（以下简称“工作规则”）</w:t>
      </w:r>
      <w:r w:rsidR="00750E98" w:rsidRPr="00721540">
        <w:rPr>
          <w:rFonts w:ascii="仿宋_GB2312" w:eastAsia="仿宋_GB2312" w:hint="eastAsia"/>
          <w:color w:val="000000" w:themeColor="text1"/>
          <w:sz w:val="28"/>
          <w:szCs w:val="28"/>
        </w:rPr>
        <w:t>，制定本细则。</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 xml:space="preserve">第二条  </w:t>
      </w:r>
      <w:r w:rsidRPr="00721540">
        <w:rPr>
          <w:rFonts w:ascii="仿宋_GB2312" w:eastAsia="仿宋_GB2312" w:hint="eastAsia"/>
          <w:color w:val="000000" w:themeColor="text1"/>
          <w:sz w:val="28"/>
          <w:szCs w:val="28"/>
        </w:rPr>
        <w:t>执业机构是行业人才培养的主体，承担以下职责：</w:t>
      </w:r>
    </w:p>
    <w:p w:rsidR="0066159C" w:rsidRPr="00721540" w:rsidRDefault="00450AC7" w:rsidP="0066159C">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（一）建立内部人才培养、评价和激励制度，为人才的成长和作用</w:t>
      </w:r>
      <w:r w:rsidR="00036E62">
        <w:rPr>
          <w:rFonts w:ascii="仿宋_GB2312" w:eastAsia="仿宋_GB2312" w:hint="eastAsia"/>
          <w:color w:val="000000" w:themeColor="text1"/>
          <w:sz w:val="28"/>
          <w:szCs w:val="28"/>
        </w:rPr>
        <w:t>的</w:t>
      </w:r>
      <w:r w:rsidR="0066159C" w:rsidRPr="00721540">
        <w:rPr>
          <w:rFonts w:ascii="仿宋_GB2312" w:eastAsia="仿宋_GB2312" w:hint="eastAsia"/>
          <w:color w:val="000000" w:themeColor="text1"/>
          <w:sz w:val="28"/>
          <w:szCs w:val="28"/>
        </w:rPr>
        <w:t>发挥搭建平台、畅通渠道；</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（二）负责内部全体人员的培训、培养工作；</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（三）组织内部相关人员参加协会和政府部门组织的培训；</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（四）组织相关人员申报行业人才奖励和选拔，并对申请进行初审；</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（五）收到协会秘书处划拨的对相关人员的人才奖励后30日内，应与其配套奖励一并及时足额向相关人员发放。</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执业机构人才培养职责的履行情况纳入行业综合评价考核。</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第三条</w:t>
      </w:r>
      <w:r w:rsidRPr="00721540">
        <w:rPr>
          <w:rFonts w:ascii="仿宋_GB2312" w:eastAsia="仿宋_GB2312" w:hint="eastAsia"/>
          <w:color w:val="000000" w:themeColor="text1"/>
          <w:sz w:val="28"/>
          <w:szCs w:val="28"/>
        </w:rPr>
        <w:t xml:space="preserve">  协会支持执业机构利用自身培训能力，通过业务研讨、</w:t>
      </w:r>
      <w:r w:rsidRPr="00721540">
        <w:rPr>
          <w:rFonts w:ascii="仿宋_GB2312" w:eastAsia="仿宋_GB2312" w:hint="eastAsia"/>
          <w:color w:val="000000" w:themeColor="text1"/>
          <w:sz w:val="28"/>
          <w:szCs w:val="28"/>
        </w:rPr>
        <w:lastRenderedPageBreak/>
        <w:t>案例分析等方式，开展内部培训工作。</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 xml:space="preserve">协会对会计师事务所、评估机构开展的同时符合下列条件的内部培训学时记入执业人员的继续教育学时，并按5000元/天的标准对相关机构予以补贴，全年补贴金额不超过30000元： </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（一）具有健全的内部培训制度和科学的培训计划；</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（二）培训内容针对性强，课程设置合理；</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（三）能够提供符合培训要求的师资、场地和设施；</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（四）一家会计师事务所或联合开展培训的多家会计师事务所合计拥有30名以上注册会计师，一家评估机构或联合开展培训的多家评估机构合计拥有30名以上注册资产评估师。</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执业机构开展的内部培训是否符合前款规定的条件由行业人才培养委员会（以下简称</w:t>
      </w:r>
      <w:r w:rsidR="006D3228">
        <w:rPr>
          <w:rFonts w:ascii="仿宋_GB2312" w:eastAsia="仿宋_GB2312" w:hint="eastAsia"/>
          <w:color w:val="000000" w:themeColor="text1"/>
          <w:sz w:val="28"/>
          <w:szCs w:val="28"/>
        </w:rPr>
        <w:t>“</w:t>
      </w:r>
      <w:r w:rsidRPr="00721540">
        <w:rPr>
          <w:rFonts w:ascii="仿宋_GB2312" w:eastAsia="仿宋_GB2312" w:hint="eastAsia"/>
          <w:color w:val="000000" w:themeColor="text1"/>
          <w:sz w:val="28"/>
          <w:szCs w:val="28"/>
        </w:rPr>
        <w:t>专委会</w:t>
      </w:r>
      <w:r w:rsidR="006D3228">
        <w:rPr>
          <w:rFonts w:ascii="仿宋_GB2312" w:eastAsia="仿宋_GB2312" w:hint="eastAsia"/>
          <w:color w:val="000000" w:themeColor="text1"/>
          <w:sz w:val="28"/>
          <w:szCs w:val="28"/>
        </w:rPr>
        <w:t>”</w:t>
      </w:r>
      <w:r w:rsidRPr="00721540">
        <w:rPr>
          <w:rFonts w:ascii="仿宋_GB2312" w:eastAsia="仿宋_GB2312" w:hint="eastAsia"/>
          <w:color w:val="000000" w:themeColor="text1"/>
          <w:sz w:val="28"/>
          <w:szCs w:val="28"/>
        </w:rPr>
        <w:t>）按其工作规则规定的程序决定。</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第四条</w:t>
      </w:r>
      <w:r w:rsidRPr="00721540">
        <w:rPr>
          <w:rFonts w:ascii="仿宋_GB2312" w:eastAsia="仿宋_GB2312" w:hint="eastAsia"/>
          <w:color w:val="000000" w:themeColor="text1"/>
          <w:sz w:val="28"/>
          <w:szCs w:val="28"/>
        </w:rPr>
        <w:t xml:space="preserve">  </w:t>
      </w:r>
      <w:r w:rsidR="00C507D6">
        <w:rPr>
          <w:rFonts w:ascii="仿宋_GB2312" w:eastAsia="仿宋_GB2312" w:hint="eastAsia"/>
          <w:color w:val="000000" w:themeColor="text1"/>
          <w:sz w:val="28"/>
          <w:szCs w:val="28"/>
        </w:rPr>
        <w:t>同时符合本细则第三条二款</w:t>
      </w:r>
      <w:r w:rsidR="005E4DD8" w:rsidRPr="005E4DD8">
        <w:rPr>
          <w:rFonts w:ascii="仿宋_GB2312" w:eastAsia="仿宋_GB2312" w:hint="eastAsia"/>
          <w:color w:val="000000" w:themeColor="text1"/>
          <w:sz w:val="28"/>
          <w:szCs w:val="28"/>
        </w:rPr>
        <w:t>条件规定且准备开展内部培训的机构应单独或联合在每年的2月底前向协会秘书处提交书面申请及相关资料一式2份、书面申请及相关资料扫描件电子文档1份。协会秘书处在收到相关资料后进行初审，并在3月10日前将初审后的相关资料转交给专委会。专委会应在收到相关资料后10个工作日内按工作规则确定的程序作出相关执业机构拟开展的内部培训是否符合规定条件的决定。不按时提交申请或虽提交申请但申请未获专委会同意的，相关机构不得享受协会规定的有关后</w:t>
      </w:r>
      <w:r w:rsidR="005E4DD8">
        <w:rPr>
          <w:rFonts w:ascii="仿宋_GB2312" w:eastAsia="仿宋_GB2312" w:hint="eastAsia"/>
          <w:color w:val="000000" w:themeColor="text1"/>
          <w:sz w:val="28"/>
          <w:szCs w:val="28"/>
        </w:rPr>
        <w:t>续教育学时和补贴政策，但协会仍鼓励相关机构开展所申请的有关培训</w:t>
      </w:r>
      <w:r w:rsidRPr="00721540">
        <w:rPr>
          <w:rFonts w:ascii="仿宋_GB2312" w:eastAsia="仿宋_GB2312" w:hint="eastAsia"/>
          <w:color w:val="000000" w:themeColor="text1"/>
          <w:sz w:val="28"/>
          <w:szCs w:val="28"/>
        </w:rPr>
        <w:t>。</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第五条</w:t>
      </w:r>
      <w:r w:rsidRPr="00721540">
        <w:rPr>
          <w:rFonts w:ascii="仿宋_GB2312" w:eastAsia="仿宋_GB2312" w:hint="eastAsia"/>
          <w:color w:val="000000" w:themeColor="text1"/>
          <w:sz w:val="28"/>
          <w:szCs w:val="28"/>
        </w:rPr>
        <w:t xml:space="preserve">  经专委会同意开展自培的执业机构，应在实际开展自培前</w:t>
      </w:r>
      <w:r w:rsidR="00F81E9C" w:rsidRPr="00721540">
        <w:rPr>
          <w:rFonts w:ascii="仿宋_GB2312" w:eastAsia="仿宋_GB2312" w:hint="eastAsia"/>
          <w:color w:val="000000" w:themeColor="text1"/>
          <w:sz w:val="28"/>
          <w:szCs w:val="28"/>
        </w:rPr>
        <w:t>5</w:t>
      </w:r>
      <w:r w:rsidR="008B3C7E" w:rsidRPr="00721540">
        <w:rPr>
          <w:rFonts w:ascii="仿宋_GB2312" w:eastAsia="仿宋_GB2312" w:hint="eastAsia"/>
          <w:color w:val="000000" w:themeColor="text1"/>
          <w:sz w:val="28"/>
          <w:szCs w:val="28"/>
        </w:rPr>
        <w:t>-10</w:t>
      </w:r>
      <w:r w:rsidRPr="00721540">
        <w:rPr>
          <w:rFonts w:ascii="仿宋_GB2312" w:eastAsia="仿宋_GB2312" w:hint="eastAsia"/>
          <w:color w:val="000000" w:themeColor="text1"/>
          <w:sz w:val="28"/>
          <w:szCs w:val="28"/>
        </w:rPr>
        <w:t>个工作日内，将自培的时间、地点、培训师资、参加人员和培训负责人联系方式等信息报告协会秘书处。</w:t>
      </w:r>
      <w:r w:rsidR="00703D0A">
        <w:rPr>
          <w:rFonts w:ascii="仿宋_GB2312" w:eastAsia="仿宋_GB2312" w:hint="eastAsia"/>
          <w:color w:val="000000" w:themeColor="text1"/>
          <w:sz w:val="28"/>
          <w:szCs w:val="28"/>
        </w:rPr>
        <w:t>协会</w:t>
      </w:r>
      <w:r w:rsidRPr="00721540">
        <w:rPr>
          <w:rFonts w:ascii="仿宋_GB2312" w:eastAsia="仿宋_GB2312" w:hint="eastAsia"/>
          <w:color w:val="000000" w:themeColor="text1"/>
          <w:sz w:val="28"/>
          <w:szCs w:val="28"/>
        </w:rPr>
        <w:t>秘书处得到相关信息后，应在3个工作日内通知专委会</w:t>
      </w:r>
      <w:r w:rsidR="00F81E9C" w:rsidRPr="00721540">
        <w:rPr>
          <w:rFonts w:ascii="仿宋_GB2312" w:eastAsia="仿宋_GB2312" w:hint="eastAsia"/>
          <w:color w:val="000000" w:themeColor="text1"/>
          <w:sz w:val="28"/>
          <w:szCs w:val="28"/>
        </w:rPr>
        <w:t>，</w:t>
      </w:r>
      <w:r w:rsidRPr="00721540">
        <w:rPr>
          <w:rFonts w:ascii="仿宋_GB2312" w:eastAsia="仿宋_GB2312" w:hint="eastAsia"/>
          <w:color w:val="000000" w:themeColor="text1"/>
          <w:sz w:val="28"/>
          <w:szCs w:val="28"/>
        </w:rPr>
        <w:t>专委会</w:t>
      </w:r>
      <w:r w:rsidR="00F81E9C" w:rsidRPr="00721540">
        <w:rPr>
          <w:rFonts w:ascii="仿宋_GB2312" w:eastAsia="仿宋_GB2312" w:hint="eastAsia"/>
          <w:color w:val="000000" w:themeColor="text1"/>
          <w:sz w:val="28"/>
          <w:szCs w:val="28"/>
        </w:rPr>
        <w:t>可根据情况</w:t>
      </w:r>
      <w:r w:rsidRPr="00721540">
        <w:rPr>
          <w:rFonts w:ascii="仿宋_GB2312" w:eastAsia="仿宋_GB2312" w:hint="eastAsia"/>
          <w:color w:val="000000" w:themeColor="text1"/>
          <w:sz w:val="28"/>
          <w:szCs w:val="28"/>
        </w:rPr>
        <w:t>安排人员到培训现场对执业机构的自培情况</w:t>
      </w:r>
      <w:r w:rsidR="00F81E9C" w:rsidRPr="00721540">
        <w:rPr>
          <w:rFonts w:ascii="仿宋_GB2312" w:eastAsia="仿宋_GB2312" w:hint="eastAsia"/>
          <w:color w:val="000000" w:themeColor="text1"/>
          <w:sz w:val="28"/>
          <w:szCs w:val="28"/>
        </w:rPr>
        <w:t>是否符合规定</w:t>
      </w:r>
      <w:r w:rsidRPr="00721540">
        <w:rPr>
          <w:rFonts w:ascii="仿宋_GB2312" w:eastAsia="仿宋_GB2312" w:hint="eastAsia"/>
          <w:color w:val="000000" w:themeColor="text1"/>
          <w:sz w:val="28"/>
          <w:szCs w:val="28"/>
        </w:rPr>
        <w:t>进行监督检查和评价</w:t>
      </w:r>
      <w:r w:rsidR="00F81E9C" w:rsidRPr="00721540">
        <w:rPr>
          <w:rFonts w:ascii="仿宋_GB2312" w:eastAsia="仿宋_GB2312" w:hint="eastAsia"/>
          <w:color w:val="000000" w:themeColor="text1"/>
          <w:sz w:val="28"/>
          <w:szCs w:val="28"/>
        </w:rPr>
        <w:t>。</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到执业</w:t>
      </w:r>
      <w:r w:rsidR="00BD5660">
        <w:rPr>
          <w:rFonts w:ascii="仿宋_GB2312" w:eastAsia="仿宋_GB2312" w:hint="eastAsia"/>
          <w:color w:val="000000" w:themeColor="text1"/>
          <w:sz w:val="28"/>
          <w:szCs w:val="28"/>
        </w:rPr>
        <w:t>机构培训现场进行监督检查和评价时，专委会每次至少应委派二名委员，自培机构委员除外</w:t>
      </w:r>
      <w:r w:rsidRPr="00721540">
        <w:rPr>
          <w:rFonts w:ascii="仿宋_GB2312" w:eastAsia="仿宋_GB2312" w:hint="eastAsia"/>
          <w:color w:val="000000" w:themeColor="text1"/>
          <w:sz w:val="28"/>
          <w:szCs w:val="28"/>
        </w:rPr>
        <w:t>。到场委员可与协会秘书处工作人员一同开展监督检查工作，并对相关机构开展的培训是否按计划进行和培训效果是否符合规定做出评价。</w:t>
      </w:r>
    </w:p>
    <w:p w:rsidR="0066159C" w:rsidRPr="00721540" w:rsidRDefault="0066159C"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评价可从实际参培人数、培训内容和课程设置、</w:t>
      </w:r>
      <w:r w:rsidR="000817E5">
        <w:rPr>
          <w:rFonts w:ascii="仿宋_GB2312" w:eastAsia="仿宋_GB2312" w:hint="eastAsia"/>
          <w:color w:val="000000" w:themeColor="text1"/>
          <w:sz w:val="28"/>
          <w:szCs w:val="28"/>
        </w:rPr>
        <w:t>培训实际总时间、培训师资、场地和设施以及培训效果等几个方面进行。</w:t>
      </w:r>
      <w:r w:rsidR="00241EF6">
        <w:rPr>
          <w:rFonts w:ascii="仿宋_GB2312" w:eastAsia="仿宋_GB2312" w:hint="eastAsia"/>
          <w:color w:val="000000" w:themeColor="text1"/>
          <w:sz w:val="28"/>
          <w:szCs w:val="28"/>
        </w:rPr>
        <w:t>专委会</w:t>
      </w:r>
      <w:r w:rsidR="000817E5">
        <w:rPr>
          <w:rFonts w:ascii="仿宋_GB2312" w:eastAsia="仿宋_GB2312" w:hint="eastAsia"/>
          <w:color w:val="000000" w:themeColor="text1"/>
          <w:sz w:val="28"/>
          <w:szCs w:val="28"/>
        </w:rPr>
        <w:t>负责</w:t>
      </w:r>
      <w:r w:rsidR="00241EF6">
        <w:rPr>
          <w:rFonts w:ascii="仿宋_GB2312" w:eastAsia="仿宋_GB2312" w:hint="eastAsia"/>
          <w:color w:val="000000" w:themeColor="text1"/>
          <w:sz w:val="28"/>
          <w:szCs w:val="28"/>
        </w:rPr>
        <w:t>制定评价指标。</w:t>
      </w:r>
    </w:p>
    <w:p w:rsidR="008B3C7E" w:rsidRPr="00721540" w:rsidRDefault="008B3C7E" w:rsidP="0066159C">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执业机构应在培训工作结束后5个工作日内，将培训总结1式2份提交给协会秘书处，协会秘书处将其中1份转交给专委会。培训总结及专委会</w:t>
      </w:r>
      <w:r w:rsidR="00061EC2" w:rsidRPr="00721540">
        <w:rPr>
          <w:rFonts w:ascii="仿宋_GB2312" w:eastAsia="仿宋_GB2312" w:hint="eastAsia"/>
          <w:color w:val="000000" w:themeColor="text1"/>
          <w:sz w:val="28"/>
          <w:szCs w:val="28"/>
        </w:rPr>
        <w:t>现场</w:t>
      </w:r>
      <w:r w:rsidRPr="00721540">
        <w:rPr>
          <w:rFonts w:ascii="仿宋_GB2312" w:eastAsia="仿宋_GB2312" w:hint="eastAsia"/>
          <w:color w:val="000000" w:themeColor="text1"/>
          <w:sz w:val="28"/>
          <w:szCs w:val="28"/>
        </w:rPr>
        <w:t>抽查的培训评价</w:t>
      </w:r>
      <w:r w:rsidR="002D6E1A" w:rsidRPr="00721540">
        <w:rPr>
          <w:rFonts w:ascii="仿宋_GB2312" w:eastAsia="仿宋_GB2312" w:hint="eastAsia"/>
          <w:color w:val="000000" w:themeColor="text1"/>
          <w:sz w:val="28"/>
          <w:szCs w:val="28"/>
        </w:rPr>
        <w:t>结论</w:t>
      </w:r>
      <w:r w:rsidRPr="00721540">
        <w:rPr>
          <w:rFonts w:ascii="仿宋_GB2312" w:eastAsia="仿宋_GB2312" w:hint="eastAsia"/>
          <w:color w:val="000000" w:themeColor="text1"/>
          <w:sz w:val="28"/>
          <w:szCs w:val="28"/>
        </w:rPr>
        <w:t>应作为执业机构内部培训学时是否记入执业人员的继续教育学时和是否对相关执业机构予以补贴的直接依据，并应作为次年是否继续同意执业机构</w:t>
      </w:r>
      <w:r w:rsidR="00061EC2" w:rsidRPr="00721540">
        <w:rPr>
          <w:rFonts w:ascii="仿宋_GB2312" w:eastAsia="仿宋_GB2312" w:hint="eastAsia"/>
          <w:color w:val="000000" w:themeColor="text1"/>
          <w:sz w:val="28"/>
          <w:szCs w:val="28"/>
        </w:rPr>
        <w:t>开展享受行业鼓励政策</w:t>
      </w:r>
      <w:r w:rsidRPr="00721540">
        <w:rPr>
          <w:rFonts w:ascii="仿宋_GB2312" w:eastAsia="仿宋_GB2312" w:hint="eastAsia"/>
          <w:color w:val="000000" w:themeColor="text1"/>
          <w:sz w:val="28"/>
          <w:szCs w:val="28"/>
        </w:rPr>
        <w:t>自培的重要参考。</w:t>
      </w:r>
    </w:p>
    <w:p w:rsidR="00061EC2" w:rsidRPr="00721540" w:rsidRDefault="0066159C" w:rsidP="00061EC2">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第六条</w:t>
      </w:r>
      <w:r w:rsidRPr="00721540">
        <w:rPr>
          <w:rFonts w:ascii="仿宋_GB2312" w:eastAsia="仿宋_GB2312" w:hint="eastAsia"/>
          <w:color w:val="000000" w:themeColor="text1"/>
          <w:sz w:val="28"/>
          <w:szCs w:val="28"/>
        </w:rPr>
        <w:t xml:space="preserve">  </w:t>
      </w:r>
      <w:r w:rsidR="00061EC2" w:rsidRPr="00721540">
        <w:rPr>
          <w:rFonts w:ascii="仿宋_GB2312" w:eastAsia="仿宋_GB2312" w:hint="eastAsia"/>
          <w:color w:val="000000" w:themeColor="text1"/>
          <w:sz w:val="28"/>
          <w:szCs w:val="28"/>
        </w:rPr>
        <w:t>有困难的中小执业机构</w:t>
      </w:r>
      <w:r w:rsidR="005E4DD8">
        <w:rPr>
          <w:rFonts w:ascii="仿宋_GB2312" w:eastAsia="仿宋_GB2312" w:hint="eastAsia"/>
          <w:color w:val="000000" w:themeColor="text1"/>
          <w:sz w:val="28"/>
          <w:szCs w:val="28"/>
        </w:rPr>
        <w:t>可根据自身实际情况向协会秘书处提出培训需求，书面申请送教上门</w:t>
      </w:r>
      <w:r w:rsidR="00061EC2" w:rsidRPr="00721540">
        <w:rPr>
          <w:rFonts w:ascii="仿宋_GB2312" w:eastAsia="仿宋_GB2312" w:hint="eastAsia"/>
          <w:color w:val="000000" w:themeColor="text1"/>
          <w:sz w:val="28"/>
          <w:szCs w:val="28"/>
        </w:rPr>
        <w:t>，由</w:t>
      </w:r>
      <w:r w:rsidR="00061EC2" w:rsidRPr="00721540">
        <w:rPr>
          <w:rFonts w:ascii="仿宋_GB2312" w:eastAsia="仿宋_GB2312"/>
          <w:color w:val="000000" w:themeColor="text1"/>
          <w:sz w:val="28"/>
          <w:szCs w:val="28"/>
        </w:rPr>
        <w:t>专委会</w:t>
      </w:r>
      <w:r w:rsidR="006C46C9">
        <w:rPr>
          <w:rFonts w:ascii="仿宋_GB2312" w:eastAsia="仿宋_GB2312" w:hint="eastAsia"/>
          <w:color w:val="000000" w:themeColor="text1"/>
          <w:sz w:val="28"/>
          <w:szCs w:val="28"/>
        </w:rPr>
        <w:t>按工作规则决定是否同意。申请得到专委会同意的，由</w:t>
      </w:r>
      <w:r w:rsidR="00061EC2" w:rsidRPr="00721540">
        <w:rPr>
          <w:rFonts w:ascii="仿宋_GB2312" w:eastAsia="仿宋_GB2312" w:hint="eastAsia"/>
          <w:color w:val="000000" w:themeColor="text1"/>
          <w:sz w:val="28"/>
          <w:szCs w:val="28"/>
        </w:rPr>
        <w:t>协会秘书处</w:t>
      </w:r>
      <w:r w:rsidR="006C46C9">
        <w:rPr>
          <w:rFonts w:ascii="仿宋_GB2312" w:eastAsia="仿宋_GB2312" w:hint="eastAsia"/>
          <w:color w:val="000000" w:themeColor="text1"/>
          <w:sz w:val="28"/>
          <w:szCs w:val="28"/>
        </w:rPr>
        <w:t>确定</w:t>
      </w:r>
      <w:r w:rsidR="00061EC2" w:rsidRPr="00721540">
        <w:rPr>
          <w:rFonts w:ascii="仿宋_GB2312" w:eastAsia="仿宋_GB2312"/>
          <w:color w:val="000000" w:themeColor="text1"/>
          <w:sz w:val="28"/>
          <w:szCs w:val="28"/>
        </w:rPr>
        <w:t>为其</w:t>
      </w:r>
      <w:r w:rsidR="00061EC2" w:rsidRPr="00721540">
        <w:rPr>
          <w:rFonts w:ascii="仿宋_GB2312" w:eastAsia="仿宋_GB2312" w:hint="eastAsia"/>
          <w:color w:val="000000" w:themeColor="text1"/>
          <w:sz w:val="28"/>
          <w:szCs w:val="28"/>
        </w:rPr>
        <w:t>提供</w:t>
      </w:r>
      <w:r w:rsidR="00061EC2" w:rsidRPr="00721540">
        <w:rPr>
          <w:rFonts w:ascii="仿宋_GB2312" w:eastAsia="仿宋_GB2312"/>
          <w:color w:val="000000" w:themeColor="text1"/>
          <w:sz w:val="28"/>
          <w:szCs w:val="28"/>
        </w:rPr>
        <w:t>师资</w:t>
      </w:r>
      <w:r w:rsidR="006C46C9">
        <w:rPr>
          <w:rFonts w:ascii="仿宋_GB2312" w:eastAsia="仿宋_GB2312" w:hint="eastAsia"/>
          <w:color w:val="000000" w:themeColor="text1"/>
          <w:sz w:val="28"/>
          <w:szCs w:val="28"/>
        </w:rPr>
        <w:t>、</w:t>
      </w:r>
      <w:r w:rsidR="00061EC2" w:rsidRPr="00721540">
        <w:rPr>
          <w:rFonts w:ascii="仿宋_GB2312" w:eastAsia="仿宋_GB2312"/>
          <w:color w:val="000000" w:themeColor="text1"/>
          <w:sz w:val="28"/>
          <w:szCs w:val="28"/>
        </w:rPr>
        <w:t>送教上门</w:t>
      </w:r>
      <w:r w:rsidR="00DF53C5" w:rsidRPr="00721540">
        <w:rPr>
          <w:rFonts w:ascii="仿宋_GB2312" w:eastAsia="仿宋_GB2312" w:hint="eastAsia"/>
          <w:color w:val="000000" w:themeColor="text1"/>
          <w:sz w:val="28"/>
          <w:szCs w:val="28"/>
        </w:rPr>
        <w:t>的具体实施方式</w:t>
      </w:r>
      <w:r w:rsidR="005E4DD8">
        <w:rPr>
          <w:rFonts w:ascii="仿宋_GB2312" w:eastAsia="仿宋_GB2312" w:hint="eastAsia"/>
          <w:color w:val="000000" w:themeColor="text1"/>
          <w:sz w:val="28"/>
          <w:szCs w:val="28"/>
        </w:rPr>
        <w:t>，相关费用由协会承担。</w:t>
      </w:r>
      <w:r w:rsidR="00061EC2" w:rsidRPr="00721540">
        <w:rPr>
          <w:rFonts w:ascii="仿宋_GB2312" w:eastAsia="仿宋_GB2312"/>
          <w:color w:val="000000" w:themeColor="text1"/>
          <w:sz w:val="28"/>
          <w:szCs w:val="28"/>
        </w:rPr>
        <w:t>送教上门</w:t>
      </w:r>
      <w:r w:rsidR="00061EC2" w:rsidRPr="00721540">
        <w:rPr>
          <w:rFonts w:ascii="仿宋_GB2312" w:eastAsia="仿宋_GB2312" w:hint="eastAsia"/>
          <w:color w:val="000000" w:themeColor="text1"/>
          <w:sz w:val="28"/>
          <w:szCs w:val="28"/>
        </w:rPr>
        <w:t>相关的培训课时可计入执业人员的继续教育学时。</w:t>
      </w:r>
    </w:p>
    <w:p w:rsidR="00061EC2" w:rsidRPr="00721540" w:rsidRDefault="00061EC2" w:rsidP="00061EC2">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享</w:t>
      </w:r>
      <w:r w:rsidR="005E4DD8">
        <w:rPr>
          <w:rFonts w:ascii="仿宋_GB2312" w:eastAsia="仿宋_GB2312" w:hint="eastAsia"/>
          <w:color w:val="000000" w:themeColor="text1"/>
          <w:sz w:val="28"/>
          <w:szCs w:val="28"/>
        </w:rPr>
        <w:t>受了行业继续教育学时和资金补贴政策的执业机构不得申请送教上门</w:t>
      </w:r>
      <w:r w:rsidRPr="00721540">
        <w:rPr>
          <w:rFonts w:ascii="仿宋_GB2312" w:eastAsia="仿宋_GB2312" w:hint="eastAsia"/>
          <w:color w:val="000000" w:themeColor="text1"/>
          <w:sz w:val="28"/>
          <w:szCs w:val="28"/>
        </w:rPr>
        <w:t>，但可向协会秘书处申请协调师资，相关费用由执业机构承担。</w:t>
      </w:r>
    </w:p>
    <w:p w:rsidR="00061EC2" w:rsidRDefault="00061EC2" w:rsidP="00061EC2">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协会</w:t>
      </w:r>
      <w:r w:rsidRPr="00721540">
        <w:rPr>
          <w:rFonts w:ascii="仿宋_GB2312" w:eastAsia="仿宋_GB2312"/>
          <w:color w:val="000000" w:themeColor="text1"/>
          <w:sz w:val="28"/>
          <w:szCs w:val="28"/>
        </w:rPr>
        <w:t>也可根据执业</w:t>
      </w:r>
      <w:r w:rsidRPr="00721540">
        <w:rPr>
          <w:rFonts w:ascii="仿宋_GB2312" w:eastAsia="仿宋_GB2312" w:hint="eastAsia"/>
          <w:color w:val="000000" w:themeColor="text1"/>
          <w:sz w:val="28"/>
          <w:szCs w:val="28"/>
        </w:rPr>
        <w:t>质量</w:t>
      </w:r>
      <w:r w:rsidRPr="00721540">
        <w:rPr>
          <w:rFonts w:ascii="仿宋_GB2312" w:eastAsia="仿宋_GB2312"/>
          <w:color w:val="000000" w:themeColor="text1"/>
          <w:sz w:val="28"/>
          <w:szCs w:val="28"/>
        </w:rPr>
        <w:t>检查情况</w:t>
      </w:r>
      <w:r w:rsidRPr="00721540">
        <w:rPr>
          <w:rFonts w:ascii="仿宋_GB2312" w:eastAsia="仿宋_GB2312" w:hint="eastAsia"/>
          <w:color w:val="000000" w:themeColor="text1"/>
          <w:sz w:val="28"/>
          <w:szCs w:val="28"/>
        </w:rPr>
        <w:t>，</w:t>
      </w:r>
      <w:r w:rsidRPr="00721540">
        <w:rPr>
          <w:rFonts w:ascii="仿宋_GB2312" w:eastAsia="仿宋_GB2312"/>
          <w:color w:val="000000" w:themeColor="text1"/>
          <w:sz w:val="28"/>
          <w:szCs w:val="28"/>
        </w:rPr>
        <w:t>确定需要帮扶的机构。</w:t>
      </w:r>
    </w:p>
    <w:p w:rsidR="00940F3D" w:rsidRPr="00721540" w:rsidRDefault="00353188" w:rsidP="00061EC2">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由专业技术委员会提供的专业帮扶适用本条。</w:t>
      </w:r>
    </w:p>
    <w:p w:rsidR="0066159C" w:rsidRPr="00721540" w:rsidRDefault="00061EC2" w:rsidP="00061EC2">
      <w:pPr>
        <w:ind w:firstLineChars="200" w:firstLine="560"/>
        <w:rPr>
          <w:rFonts w:ascii="仿宋_GB2312" w:eastAsia="仿宋_GB2312"/>
          <w:color w:val="000000" w:themeColor="text1"/>
          <w:sz w:val="28"/>
          <w:szCs w:val="28"/>
        </w:rPr>
      </w:pPr>
      <w:r w:rsidRPr="00721540">
        <w:rPr>
          <w:rFonts w:ascii="仿宋_GB2312" w:eastAsia="仿宋_GB2312" w:hint="eastAsia"/>
          <w:color w:val="000000" w:themeColor="text1"/>
          <w:sz w:val="28"/>
          <w:szCs w:val="28"/>
        </w:rPr>
        <w:t>协会为大型执业机构与中小型执业机构，主城执业机构与远郊区县执业机构提供业务交流平台，共同提升人员综合素质。</w:t>
      </w:r>
    </w:p>
    <w:p w:rsidR="00061EC2" w:rsidRPr="00721540" w:rsidRDefault="0066159C" w:rsidP="00061EC2">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第七条</w:t>
      </w:r>
      <w:r w:rsidRPr="00721540">
        <w:rPr>
          <w:rFonts w:ascii="仿宋_GB2312" w:eastAsia="仿宋_GB2312" w:hint="eastAsia"/>
          <w:color w:val="000000" w:themeColor="text1"/>
          <w:sz w:val="28"/>
          <w:szCs w:val="28"/>
        </w:rPr>
        <w:t xml:space="preserve">  </w:t>
      </w:r>
      <w:r w:rsidR="00061EC2" w:rsidRPr="00721540">
        <w:rPr>
          <w:rFonts w:ascii="仿宋_GB2312" w:eastAsia="仿宋_GB2312" w:hint="eastAsia"/>
          <w:color w:val="000000" w:themeColor="text1"/>
          <w:sz w:val="28"/>
          <w:szCs w:val="28"/>
        </w:rPr>
        <w:t>在协会秘书处每年制定继续教育计划的过程中，执业机构可提出自己的培训需求</w:t>
      </w:r>
      <w:r w:rsidR="00096B38">
        <w:rPr>
          <w:rFonts w:ascii="仿宋_GB2312" w:eastAsia="仿宋_GB2312" w:hint="eastAsia"/>
          <w:color w:val="000000" w:themeColor="text1"/>
          <w:sz w:val="28"/>
          <w:szCs w:val="28"/>
        </w:rPr>
        <w:t>和建议。在有关继续教育计划经专委会通过印发后，执业机构应根据</w:t>
      </w:r>
      <w:r w:rsidR="00061EC2" w:rsidRPr="00721540">
        <w:rPr>
          <w:rFonts w:ascii="仿宋_GB2312" w:eastAsia="仿宋_GB2312" w:hint="eastAsia"/>
          <w:color w:val="000000" w:themeColor="text1"/>
          <w:sz w:val="28"/>
          <w:szCs w:val="28"/>
        </w:rPr>
        <w:t>培训</w:t>
      </w:r>
      <w:r w:rsidR="00096B38">
        <w:rPr>
          <w:rFonts w:ascii="仿宋_GB2312" w:eastAsia="仿宋_GB2312" w:hint="eastAsia"/>
          <w:color w:val="000000" w:themeColor="text1"/>
          <w:sz w:val="28"/>
          <w:szCs w:val="28"/>
        </w:rPr>
        <w:t>计划</w:t>
      </w:r>
      <w:r w:rsidR="00061EC2" w:rsidRPr="00721540">
        <w:rPr>
          <w:rFonts w:ascii="仿宋_GB2312" w:eastAsia="仿宋_GB2312" w:hint="eastAsia"/>
          <w:color w:val="000000" w:themeColor="text1"/>
          <w:sz w:val="28"/>
          <w:szCs w:val="28"/>
        </w:rPr>
        <w:t>的内容和要求，结合机构自身实际情况，积极组织执业人员和其他从业人员参加。</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第八条</w:t>
      </w:r>
      <w:r w:rsidRPr="00721540">
        <w:rPr>
          <w:rFonts w:ascii="仿宋_GB2312" w:eastAsia="仿宋_GB2312" w:hint="eastAsia"/>
          <w:color w:val="000000" w:themeColor="text1"/>
          <w:sz w:val="28"/>
          <w:szCs w:val="28"/>
        </w:rPr>
        <w:t xml:space="preserve">  协会加强</w:t>
      </w:r>
      <w:r w:rsidRPr="00721540">
        <w:rPr>
          <w:rFonts w:ascii="仿宋_GB2312" w:eastAsia="仿宋_GB2312"/>
          <w:color w:val="000000" w:themeColor="text1"/>
          <w:sz w:val="28"/>
          <w:szCs w:val="28"/>
        </w:rPr>
        <w:t>与</w:t>
      </w:r>
      <w:r w:rsidRPr="00721540">
        <w:rPr>
          <w:rFonts w:ascii="仿宋_GB2312" w:eastAsia="仿宋_GB2312" w:hint="eastAsia"/>
          <w:color w:val="000000" w:themeColor="text1"/>
          <w:sz w:val="28"/>
          <w:szCs w:val="28"/>
        </w:rPr>
        <w:t>重庆高校及其他行业</w:t>
      </w:r>
      <w:r w:rsidRPr="00721540">
        <w:rPr>
          <w:rFonts w:ascii="仿宋_GB2312" w:eastAsia="仿宋_GB2312"/>
          <w:color w:val="000000" w:themeColor="text1"/>
          <w:sz w:val="28"/>
          <w:szCs w:val="28"/>
        </w:rPr>
        <w:t>合作，</w:t>
      </w:r>
      <w:r w:rsidRPr="00721540">
        <w:rPr>
          <w:rFonts w:ascii="仿宋_GB2312" w:eastAsia="仿宋_GB2312" w:hint="eastAsia"/>
          <w:color w:val="000000" w:themeColor="text1"/>
          <w:sz w:val="28"/>
          <w:szCs w:val="28"/>
        </w:rPr>
        <w:t>协调政府部门，</w:t>
      </w:r>
      <w:r w:rsidRPr="00721540">
        <w:rPr>
          <w:rFonts w:ascii="仿宋_GB2312" w:eastAsia="仿宋_GB2312"/>
          <w:color w:val="000000" w:themeColor="text1"/>
          <w:sz w:val="28"/>
          <w:szCs w:val="28"/>
        </w:rPr>
        <w:t>开设宏观形势解读、</w:t>
      </w:r>
      <w:r w:rsidRPr="00721540">
        <w:rPr>
          <w:rFonts w:ascii="仿宋_GB2312" w:eastAsia="仿宋_GB2312" w:hint="eastAsia"/>
          <w:color w:val="000000" w:themeColor="text1"/>
          <w:sz w:val="28"/>
          <w:szCs w:val="28"/>
        </w:rPr>
        <w:t>经济</w:t>
      </w:r>
      <w:r w:rsidRPr="00721540">
        <w:rPr>
          <w:rFonts w:ascii="仿宋_GB2312" w:eastAsia="仿宋_GB2312"/>
          <w:color w:val="000000" w:themeColor="text1"/>
          <w:sz w:val="28"/>
          <w:szCs w:val="28"/>
        </w:rPr>
        <w:t>前沿专题、创新</w:t>
      </w:r>
      <w:r w:rsidRPr="00721540">
        <w:rPr>
          <w:rFonts w:ascii="仿宋_GB2312" w:eastAsia="仿宋_GB2312" w:hint="eastAsia"/>
          <w:color w:val="000000" w:themeColor="text1"/>
          <w:sz w:val="28"/>
          <w:szCs w:val="28"/>
        </w:rPr>
        <w:t>业务</w:t>
      </w:r>
      <w:r w:rsidRPr="00721540">
        <w:rPr>
          <w:rFonts w:ascii="仿宋_GB2312" w:eastAsia="仿宋_GB2312"/>
          <w:color w:val="000000" w:themeColor="text1"/>
          <w:sz w:val="28"/>
          <w:szCs w:val="28"/>
        </w:rPr>
        <w:t>等课程</w:t>
      </w:r>
      <w:r w:rsidRPr="00721540">
        <w:rPr>
          <w:rFonts w:ascii="仿宋_GB2312" w:eastAsia="仿宋_GB2312" w:hint="eastAsia"/>
          <w:color w:val="000000" w:themeColor="text1"/>
          <w:sz w:val="28"/>
          <w:szCs w:val="28"/>
        </w:rPr>
        <w:t>，帮助行业人员及时更新相关业务知识。</w:t>
      </w:r>
      <w:r w:rsidR="001A643B" w:rsidRPr="00721540">
        <w:rPr>
          <w:rFonts w:ascii="仿宋_GB2312" w:eastAsia="仿宋_GB2312" w:hint="eastAsia"/>
          <w:color w:val="000000" w:themeColor="text1"/>
          <w:sz w:val="28"/>
          <w:szCs w:val="28"/>
        </w:rPr>
        <w:t>执业</w:t>
      </w:r>
      <w:r w:rsidRPr="00721540">
        <w:rPr>
          <w:rFonts w:ascii="仿宋_GB2312" w:eastAsia="仿宋_GB2312" w:hint="eastAsia"/>
          <w:color w:val="000000" w:themeColor="text1"/>
          <w:sz w:val="28"/>
          <w:szCs w:val="28"/>
        </w:rPr>
        <w:t>机构应组织人员积极参加。</w:t>
      </w:r>
    </w:p>
    <w:p w:rsidR="0066159C" w:rsidRPr="00721540" w:rsidRDefault="00A952CF" w:rsidP="0066159C">
      <w:pPr>
        <w:ind w:firstLineChars="200" w:firstLine="562"/>
        <w:rPr>
          <w:rFonts w:ascii="仿宋_GB2312" w:eastAsia="仿宋_GB2312"/>
          <w:color w:val="000000" w:themeColor="text1"/>
          <w:sz w:val="28"/>
          <w:szCs w:val="28"/>
        </w:rPr>
      </w:pPr>
      <w:r w:rsidRPr="00721540">
        <w:rPr>
          <w:rFonts w:ascii="仿宋_GB2312" w:eastAsia="仿宋_GB2312" w:hint="eastAsia"/>
          <w:b/>
          <w:color w:val="000000" w:themeColor="text1"/>
          <w:sz w:val="28"/>
          <w:szCs w:val="28"/>
        </w:rPr>
        <w:t>第九</w:t>
      </w:r>
      <w:r w:rsidR="0066159C" w:rsidRPr="00721540">
        <w:rPr>
          <w:rFonts w:ascii="仿宋_GB2312" w:eastAsia="仿宋_GB2312" w:hint="eastAsia"/>
          <w:b/>
          <w:color w:val="000000" w:themeColor="text1"/>
          <w:sz w:val="28"/>
          <w:szCs w:val="28"/>
        </w:rPr>
        <w:t>条</w:t>
      </w:r>
      <w:r w:rsidR="0066159C" w:rsidRPr="00721540">
        <w:rPr>
          <w:rFonts w:ascii="仿宋_GB2312" w:eastAsia="仿宋_GB2312" w:hint="eastAsia"/>
          <w:color w:val="000000" w:themeColor="text1"/>
          <w:sz w:val="28"/>
          <w:szCs w:val="28"/>
        </w:rPr>
        <w:t xml:space="preserve">  协会建立包括执业人员、其他从业人员、政府部门、高等院校、科研机构、其他行业专家学者在内的行业人才培养师资库，为机构自培</w:t>
      </w:r>
      <w:r w:rsidR="00C40054" w:rsidRPr="00721540">
        <w:rPr>
          <w:rFonts w:ascii="仿宋_GB2312" w:eastAsia="仿宋_GB2312" w:hint="eastAsia"/>
          <w:color w:val="000000" w:themeColor="text1"/>
          <w:sz w:val="28"/>
          <w:szCs w:val="28"/>
        </w:rPr>
        <w:t>、</w:t>
      </w:r>
      <w:r w:rsidR="005E4DD8">
        <w:rPr>
          <w:rFonts w:ascii="仿宋_GB2312" w:eastAsia="仿宋_GB2312" w:hint="eastAsia"/>
          <w:color w:val="000000" w:themeColor="text1"/>
          <w:sz w:val="28"/>
          <w:szCs w:val="28"/>
        </w:rPr>
        <w:t>送教上门</w:t>
      </w:r>
      <w:r w:rsidR="00C40054" w:rsidRPr="00721540">
        <w:rPr>
          <w:rFonts w:ascii="仿宋_GB2312" w:eastAsia="仿宋_GB2312" w:hint="eastAsia"/>
          <w:color w:val="000000" w:themeColor="text1"/>
          <w:sz w:val="28"/>
          <w:szCs w:val="28"/>
        </w:rPr>
        <w:t>及协会组织的培训</w:t>
      </w:r>
      <w:r w:rsidR="0066159C" w:rsidRPr="00721540">
        <w:rPr>
          <w:rFonts w:ascii="仿宋_GB2312" w:eastAsia="仿宋_GB2312" w:hint="eastAsia"/>
          <w:color w:val="000000" w:themeColor="text1"/>
          <w:sz w:val="28"/>
          <w:szCs w:val="28"/>
        </w:rPr>
        <w:t>提供师资来源。</w:t>
      </w:r>
    </w:p>
    <w:p w:rsidR="0066159C" w:rsidRPr="00721540" w:rsidRDefault="0066159C" w:rsidP="0066159C">
      <w:pPr>
        <w:ind w:firstLineChars="200" w:firstLine="562"/>
        <w:rPr>
          <w:rFonts w:ascii="仿宋_GB2312" w:eastAsia="仿宋_GB2312"/>
          <w:color w:val="000000" w:themeColor="text1"/>
          <w:sz w:val="28"/>
          <w:szCs w:val="28"/>
        </w:rPr>
      </w:pPr>
      <w:r w:rsidRPr="00721540">
        <w:rPr>
          <w:rFonts w:ascii="仿宋_GB2312" w:eastAsia="仿宋_GB2312" w:hAnsi="楷体" w:hint="eastAsia"/>
          <w:b/>
          <w:color w:val="000000" w:themeColor="text1"/>
          <w:sz w:val="28"/>
          <w:szCs w:val="28"/>
        </w:rPr>
        <w:t>第</w:t>
      </w:r>
      <w:r w:rsidR="00A952CF" w:rsidRPr="00721540">
        <w:rPr>
          <w:rFonts w:ascii="仿宋_GB2312" w:eastAsia="仿宋_GB2312" w:hAnsi="楷体" w:hint="eastAsia"/>
          <w:b/>
          <w:color w:val="000000" w:themeColor="text1"/>
          <w:sz w:val="28"/>
          <w:szCs w:val="28"/>
        </w:rPr>
        <w:t>十</w:t>
      </w:r>
      <w:r w:rsidRPr="00721540">
        <w:rPr>
          <w:rFonts w:ascii="仿宋_GB2312" w:eastAsia="仿宋_GB2312" w:hAnsi="楷体" w:hint="eastAsia"/>
          <w:b/>
          <w:color w:val="000000" w:themeColor="text1"/>
          <w:sz w:val="28"/>
          <w:szCs w:val="28"/>
        </w:rPr>
        <w:t xml:space="preserve">条  </w:t>
      </w:r>
      <w:r w:rsidRPr="00721540">
        <w:rPr>
          <w:rFonts w:ascii="仿宋_GB2312" w:eastAsia="仿宋_GB2312" w:hint="eastAsia"/>
          <w:color w:val="000000" w:themeColor="text1"/>
          <w:sz w:val="28"/>
          <w:szCs w:val="28"/>
        </w:rPr>
        <w:t>协会秘书处和专委会组织开展执业机构</w:t>
      </w:r>
      <w:r w:rsidR="001A643B" w:rsidRPr="00721540">
        <w:rPr>
          <w:rFonts w:ascii="仿宋_GB2312" w:eastAsia="仿宋_GB2312" w:hint="eastAsia"/>
          <w:color w:val="000000" w:themeColor="text1"/>
          <w:sz w:val="28"/>
          <w:szCs w:val="28"/>
        </w:rPr>
        <w:t>内部培训和送教上门</w:t>
      </w:r>
      <w:r w:rsidRPr="00721540">
        <w:rPr>
          <w:rFonts w:ascii="仿宋_GB2312" w:eastAsia="仿宋_GB2312" w:hint="eastAsia"/>
          <w:color w:val="000000" w:themeColor="text1"/>
          <w:sz w:val="28"/>
          <w:szCs w:val="28"/>
        </w:rPr>
        <w:t>相关工作所需工作经费，由协会统一安排，在协会会费中列支。</w:t>
      </w:r>
    </w:p>
    <w:p w:rsidR="0066159C" w:rsidRPr="006D3228" w:rsidRDefault="0066159C" w:rsidP="006D3228">
      <w:pPr>
        <w:ind w:rightChars="100" w:right="210" w:firstLineChars="200" w:firstLine="562"/>
        <w:rPr>
          <w:rFonts w:ascii="仿宋_GB2312" w:eastAsia="仿宋_GB2312"/>
          <w:color w:val="000000" w:themeColor="text1"/>
          <w:sz w:val="28"/>
          <w:szCs w:val="28"/>
        </w:rPr>
      </w:pPr>
      <w:r w:rsidRPr="00721540">
        <w:rPr>
          <w:rFonts w:ascii="仿宋_GB2312" w:eastAsia="仿宋_GB2312" w:hAnsi="楷体" w:hint="eastAsia"/>
          <w:b/>
          <w:color w:val="000000" w:themeColor="text1"/>
          <w:sz w:val="28"/>
          <w:szCs w:val="28"/>
        </w:rPr>
        <w:t>第十</w:t>
      </w:r>
      <w:r w:rsidR="00A952CF" w:rsidRPr="00721540">
        <w:rPr>
          <w:rFonts w:ascii="仿宋_GB2312" w:eastAsia="仿宋_GB2312" w:hAnsi="楷体" w:hint="eastAsia"/>
          <w:b/>
          <w:color w:val="000000" w:themeColor="text1"/>
          <w:sz w:val="28"/>
          <w:szCs w:val="28"/>
        </w:rPr>
        <w:t>一</w:t>
      </w:r>
      <w:r w:rsidRPr="00721540">
        <w:rPr>
          <w:rFonts w:ascii="仿宋_GB2312" w:eastAsia="仿宋_GB2312" w:hAnsi="楷体" w:hint="eastAsia"/>
          <w:b/>
          <w:color w:val="000000" w:themeColor="text1"/>
          <w:sz w:val="28"/>
          <w:szCs w:val="28"/>
        </w:rPr>
        <w:t>条</w:t>
      </w:r>
      <w:r w:rsidRPr="00721540">
        <w:rPr>
          <w:rFonts w:ascii="仿宋_GB2312" w:eastAsia="仿宋_GB2312" w:hint="eastAsia"/>
          <w:color w:val="000000" w:themeColor="text1"/>
          <w:sz w:val="28"/>
          <w:szCs w:val="28"/>
        </w:rPr>
        <w:t xml:space="preserve">  本细则自协会</w:t>
      </w:r>
      <w:r w:rsidR="00721540" w:rsidRPr="00721540">
        <w:rPr>
          <w:rFonts w:ascii="仿宋_GB2312" w:eastAsia="仿宋_GB2312" w:hint="eastAsia"/>
          <w:color w:val="000000" w:themeColor="text1"/>
          <w:sz w:val="28"/>
          <w:szCs w:val="28"/>
        </w:rPr>
        <w:t>常务</w:t>
      </w:r>
      <w:r w:rsidRPr="00721540">
        <w:rPr>
          <w:rFonts w:ascii="仿宋_GB2312" w:eastAsia="仿宋_GB2312" w:hint="eastAsia"/>
          <w:color w:val="000000" w:themeColor="text1"/>
          <w:sz w:val="28"/>
          <w:szCs w:val="28"/>
        </w:rPr>
        <w:t>理事会通过之日起执行，由协会秘书处和专委会负责解释。</w:t>
      </w:r>
    </w:p>
    <w:sectPr w:rsidR="0066159C" w:rsidRPr="006D3228" w:rsidSect="001B78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59" w:rsidRDefault="008B1459" w:rsidP="00481003">
      <w:r>
        <w:separator/>
      </w:r>
    </w:p>
  </w:endnote>
  <w:endnote w:type="continuationSeparator" w:id="0">
    <w:p w:rsidR="008B1459" w:rsidRDefault="008B1459" w:rsidP="0048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360"/>
      <w:docPartObj>
        <w:docPartGallery w:val="Page Numbers (Bottom of Page)"/>
        <w:docPartUnique/>
      </w:docPartObj>
    </w:sdtPr>
    <w:sdtEndPr/>
    <w:sdtContent>
      <w:sdt>
        <w:sdtPr>
          <w:id w:val="98381352"/>
          <w:docPartObj>
            <w:docPartGallery w:val="Page Numbers (Top of Page)"/>
            <w:docPartUnique/>
          </w:docPartObj>
        </w:sdtPr>
        <w:sdtEndPr/>
        <w:sdtContent>
          <w:p w:rsidR="004F1F4A" w:rsidRDefault="0066159C" w:rsidP="004F1F4A">
            <w:pPr>
              <w:pStyle w:val="a3"/>
              <w:jc w:val="center"/>
            </w:pPr>
            <w:r>
              <w:rPr>
                <w:lang w:val="zh-CN"/>
              </w:rPr>
              <w:t xml:space="preserve"> </w:t>
            </w:r>
            <w:r w:rsidR="00F904B8">
              <w:rPr>
                <w:b/>
                <w:sz w:val="24"/>
                <w:szCs w:val="24"/>
              </w:rPr>
              <w:fldChar w:fldCharType="begin"/>
            </w:r>
            <w:r>
              <w:rPr>
                <w:b/>
              </w:rPr>
              <w:instrText>PAGE</w:instrText>
            </w:r>
            <w:r w:rsidR="00F904B8">
              <w:rPr>
                <w:b/>
                <w:sz w:val="24"/>
                <w:szCs w:val="24"/>
              </w:rPr>
              <w:fldChar w:fldCharType="separate"/>
            </w:r>
            <w:r w:rsidR="008B1459">
              <w:rPr>
                <w:b/>
                <w:noProof/>
              </w:rPr>
              <w:t>1</w:t>
            </w:r>
            <w:r w:rsidR="00F904B8">
              <w:rPr>
                <w:b/>
                <w:sz w:val="24"/>
                <w:szCs w:val="24"/>
              </w:rPr>
              <w:fldChar w:fldCharType="end"/>
            </w:r>
            <w:r>
              <w:rPr>
                <w:lang w:val="zh-CN"/>
              </w:rPr>
              <w:t xml:space="preserve"> / </w:t>
            </w:r>
            <w:r w:rsidR="00F904B8">
              <w:rPr>
                <w:b/>
                <w:sz w:val="24"/>
                <w:szCs w:val="24"/>
              </w:rPr>
              <w:fldChar w:fldCharType="begin"/>
            </w:r>
            <w:r>
              <w:rPr>
                <w:b/>
              </w:rPr>
              <w:instrText>NUMPAGES</w:instrText>
            </w:r>
            <w:r w:rsidR="00F904B8">
              <w:rPr>
                <w:b/>
                <w:sz w:val="24"/>
                <w:szCs w:val="24"/>
              </w:rPr>
              <w:fldChar w:fldCharType="separate"/>
            </w:r>
            <w:r w:rsidR="008B1459">
              <w:rPr>
                <w:b/>
                <w:noProof/>
              </w:rPr>
              <w:t>1</w:t>
            </w:r>
            <w:r w:rsidR="00F904B8">
              <w:rPr>
                <w:b/>
                <w:sz w:val="24"/>
                <w:szCs w:val="24"/>
              </w:rPr>
              <w:fldChar w:fldCharType="end"/>
            </w:r>
          </w:p>
        </w:sdtContent>
      </w:sdt>
    </w:sdtContent>
  </w:sdt>
  <w:p w:rsidR="004F1F4A" w:rsidRDefault="008B14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59" w:rsidRDefault="008B1459" w:rsidP="00481003">
      <w:r>
        <w:separator/>
      </w:r>
    </w:p>
  </w:footnote>
  <w:footnote w:type="continuationSeparator" w:id="0">
    <w:p w:rsidR="008B1459" w:rsidRDefault="008B1459" w:rsidP="0048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9C"/>
    <w:rsid w:val="00032D8E"/>
    <w:rsid w:val="00036E62"/>
    <w:rsid w:val="00061EC2"/>
    <w:rsid w:val="000817E5"/>
    <w:rsid w:val="00087A5B"/>
    <w:rsid w:val="00096B38"/>
    <w:rsid w:val="000A574D"/>
    <w:rsid w:val="000C613F"/>
    <w:rsid w:val="000E4D59"/>
    <w:rsid w:val="00156E38"/>
    <w:rsid w:val="001A643B"/>
    <w:rsid w:val="001C7250"/>
    <w:rsid w:val="00241EF6"/>
    <w:rsid w:val="002D524C"/>
    <w:rsid w:val="002D6E1A"/>
    <w:rsid w:val="002F6834"/>
    <w:rsid w:val="003011FA"/>
    <w:rsid w:val="0031694A"/>
    <w:rsid w:val="00347978"/>
    <w:rsid w:val="00353188"/>
    <w:rsid w:val="00377DF8"/>
    <w:rsid w:val="003C11C5"/>
    <w:rsid w:val="003D1BF2"/>
    <w:rsid w:val="00411DF6"/>
    <w:rsid w:val="004470A7"/>
    <w:rsid w:val="00450AC7"/>
    <w:rsid w:val="00453EAA"/>
    <w:rsid w:val="00481003"/>
    <w:rsid w:val="00496ABE"/>
    <w:rsid w:val="004B154A"/>
    <w:rsid w:val="004D21E6"/>
    <w:rsid w:val="00502EDA"/>
    <w:rsid w:val="00503C9B"/>
    <w:rsid w:val="00571B06"/>
    <w:rsid w:val="005C4AF8"/>
    <w:rsid w:val="005E4DD8"/>
    <w:rsid w:val="00657549"/>
    <w:rsid w:val="00660892"/>
    <w:rsid w:val="0066159C"/>
    <w:rsid w:val="00693A45"/>
    <w:rsid w:val="006A21EE"/>
    <w:rsid w:val="006C46C9"/>
    <w:rsid w:val="006D3228"/>
    <w:rsid w:val="00703D0A"/>
    <w:rsid w:val="00705160"/>
    <w:rsid w:val="00721540"/>
    <w:rsid w:val="00750E98"/>
    <w:rsid w:val="00817478"/>
    <w:rsid w:val="008234CA"/>
    <w:rsid w:val="00852981"/>
    <w:rsid w:val="00854A93"/>
    <w:rsid w:val="0088766B"/>
    <w:rsid w:val="008A1EB4"/>
    <w:rsid w:val="008B1459"/>
    <w:rsid w:val="008B3C7E"/>
    <w:rsid w:val="00940F3D"/>
    <w:rsid w:val="00974A8A"/>
    <w:rsid w:val="009C32DA"/>
    <w:rsid w:val="00A05CA7"/>
    <w:rsid w:val="00A952CF"/>
    <w:rsid w:val="00AA12EB"/>
    <w:rsid w:val="00B45759"/>
    <w:rsid w:val="00B52EF5"/>
    <w:rsid w:val="00BC2E18"/>
    <w:rsid w:val="00BD5660"/>
    <w:rsid w:val="00C40054"/>
    <w:rsid w:val="00C507D6"/>
    <w:rsid w:val="00CB2D33"/>
    <w:rsid w:val="00CE1240"/>
    <w:rsid w:val="00D301AC"/>
    <w:rsid w:val="00D81239"/>
    <w:rsid w:val="00D873A2"/>
    <w:rsid w:val="00DA6DB2"/>
    <w:rsid w:val="00DD3A3A"/>
    <w:rsid w:val="00DF53C5"/>
    <w:rsid w:val="00E355D5"/>
    <w:rsid w:val="00F602C9"/>
    <w:rsid w:val="00F81E9C"/>
    <w:rsid w:val="00F904B8"/>
    <w:rsid w:val="00FF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159C"/>
    <w:pPr>
      <w:tabs>
        <w:tab w:val="center" w:pos="4153"/>
        <w:tab w:val="right" w:pos="8306"/>
      </w:tabs>
      <w:snapToGrid w:val="0"/>
      <w:jc w:val="left"/>
    </w:pPr>
    <w:rPr>
      <w:sz w:val="18"/>
      <w:szCs w:val="18"/>
    </w:rPr>
  </w:style>
  <w:style w:type="character" w:customStyle="1" w:styleId="Char">
    <w:name w:val="页脚 Char"/>
    <w:basedOn w:val="a0"/>
    <w:link w:val="a3"/>
    <w:uiPriority w:val="99"/>
    <w:rsid w:val="0066159C"/>
    <w:rPr>
      <w:rFonts w:ascii="Times New Roman" w:eastAsia="宋体" w:hAnsi="Times New Roman" w:cs="Times New Roman"/>
      <w:sz w:val="18"/>
      <w:szCs w:val="18"/>
    </w:rPr>
  </w:style>
  <w:style w:type="paragraph" w:styleId="a4">
    <w:name w:val="header"/>
    <w:basedOn w:val="a"/>
    <w:link w:val="Char0"/>
    <w:uiPriority w:val="99"/>
    <w:unhideWhenUsed/>
    <w:rsid w:val="00974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4A8A"/>
    <w:rPr>
      <w:rFonts w:ascii="Times New Roman" w:eastAsia="宋体" w:hAnsi="Times New Roman" w:cs="Times New Roman"/>
      <w:sz w:val="18"/>
      <w:szCs w:val="18"/>
    </w:rPr>
  </w:style>
  <w:style w:type="paragraph" w:styleId="a5">
    <w:name w:val="Balloon Text"/>
    <w:basedOn w:val="a"/>
    <w:link w:val="Char1"/>
    <w:uiPriority w:val="99"/>
    <w:semiHidden/>
    <w:unhideWhenUsed/>
    <w:rsid w:val="003C11C5"/>
    <w:rPr>
      <w:sz w:val="18"/>
      <w:szCs w:val="18"/>
    </w:rPr>
  </w:style>
  <w:style w:type="character" w:customStyle="1" w:styleId="Char1">
    <w:name w:val="批注框文本 Char"/>
    <w:basedOn w:val="a0"/>
    <w:link w:val="a5"/>
    <w:uiPriority w:val="99"/>
    <w:semiHidden/>
    <w:rsid w:val="003C11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159C"/>
    <w:pPr>
      <w:tabs>
        <w:tab w:val="center" w:pos="4153"/>
        <w:tab w:val="right" w:pos="8306"/>
      </w:tabs>
      <w:snapToGrid w:val="0"/>
      <w:jc w:val="left"/>
    </w:pPr>
    <w:rPr>
      <w:sz w:val="18"/>
      <w:szCs w:val="18"/>
    </w:rPr>
  </w:style>
  <w:style w:type="character" w:customStyle="1" w:styleId="Char">
    <w:name w:val="页脚 Char"/>
    <w:basedOn w:val="a0"/>
    <w:link w:val="a3"/>
    <w:uiPriority w:val="99"/>
    <w:rsid w:val="0066159C"/>
    <w:rPr>
      <w:rFonts w:ascii="Times New Roman" w:eastAsia="宋体" w:hAnsi="Times New Roman" w:cs="Times New Roman"/>
      <w:sz w:val="18"/>
      <w:szCs w:val="18"/>
    </w:rPr>
  </w:style>
  <w:style w:type="paragraph" w:styleId="a4">
    <w:name w:val="header"/>
    <w:basedOn w:val="a"/>
    <w:link w:val="Char0"/>
    <w:uiPriority w:val="99"/>
    <w:unhideWhenUsed/>
    <w:rsid w:val="00974A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74A8A"/>
    <w:rPr>
      <w:rFonts w:ascii="Times New Roman" w:eastAsia="宋体" w:hAnsi="Times New Roman" w:cs="Times New Roman"/>
      <w:sz w:val="18"/>
      <w:szCs w:val="18"/>
    </w:rPr>
  </w:style>
  <w:style w:type="paragraph" w:styleId="a5">
    <w:name w:val="Balloon Text"/>
    <w:basedOn w:val="a"/>
    <w:link w:val="Char1"/>
    <w:uiPriority w:val="99"/>
    <w:semiHidden/>
    <w:unhideWhenUsed/>
    <w:rsid w:val="003C11C5"/>
    <w:rPr>
      <w:sz w:val="18"/>
      <w:szCs w:val="18"/>
    </w:rPr>
  </w:style>
  <w:style w:type="character" w:customStyle="1" w:styleId="Char1">
    <w:name w:val="批注框文本 Char"/>
    <w:basedOn w:val="a0"/>
    <w:link w:val="a5"/>
    <w:uiPriority w:val="99"/>
    <w:semiHidden/>
    <w:rsid w:val="003C11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4514">
      <w:bodyDiv w:val="1"/>
      <w:marLeft w:val="0"/>
      <w:marRight w:val="0"/>
      <w:marTop w:val="0"/>
      <w:marBottom w:val="0"/>
      <w:divBdr>
        <w:top w:val="none" w:sz="0" w:space="0" w:color="auto"/>
        <w:left w:val="none" w:sz="0" w:space="0" w:color="auto"/>
        <w:bottom w:val="none" w:sz="0" w:space="0" w:color="auto"/>
        <w:right w:val="none" w:sz="0" w:space="0" w:color="auto"/>
      </w:divBdr>
    </w:div>
    <w:div w:id="18184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1918</Characters>
  <Application>Microsoft Office Word</Application>
  <DocSecurity>0</DocSecurity>
  <Lines>15</Lines>
  <Paragraphs>4</Paragraphs>
  <ScaleCrop>false</ScaleCrop>
  <Company>Lenovo (Beijing) Limited</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2015-12-23T02:30:00Z</cp:lastPrinted>
  <dcterms:created xsi:type="dcterms:W3CDTF">2015-12-23T02:17:00Z</dcterms:created>
  <dcterms:modified xsi:type="dcterms:W3CDTF">2015-12-23T07:09:00Z</dcterms:modified>
</cp:coreProperties>
</file>