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387" w:rsidRPr="00423EC3" w:rsidRDefault="002F7E61" w:rsidP="00423EC3">
      <w:pPr>
        <w:jc w:val="center"/>
        <w:rPr>
          <w:rStyle w:val="a3"/>
          <w:rFonts w:ascii="黑体" w:eastAsia="黑体" w:hAnsi="黑体" w:hint="eastAsia"/>
          <w:sz w:val="32"/>
          <w:szCs w:val="32"/>
        </w:rPr>
      </w:pPr>
      <w:proofErr w:type="gramStart"/>
      <w:r w:rsidRPr="00423EC3">
        <w:rPr>
          <w:rStyle w:val="a3"/>
          <w:rFonts w:ascii="黑体" w:eastAsia="黑体" w:hAnsi="黑体"/>
          <w:sz w:val="32"/>
          <w:szCs w:val="32"/>
        </w:rPr>
        <w:t>中评协关于</w:t>
      </w:r>
      <w:proofErr w:type="gramEnd"/>
      <w:r w:rsidRPr="00423EC3">
        <w:rPr>
          <w:rStyle w:val="a3"/>
          <w:rFonts w:ascii="黑体" w:eastAsia="黑体" w:hAnsi="黑体"/>
          <w:sz w:val="32"/>
          <w:szCs w:val="32"/>
        </w:rPr>
        <w:t>印发《资产评估行业市场开拓路线指引（2013年）》的通知</w:t>
      </w:r>
    </w:p>
    <w:p w:rsidR="002F7E61" w:rsidRPr="00423EC3" w:rsidRDefault="002F7E61" w:rsidP="00423EC3">
      <w:pPr>
        <w:jc w:val="center"/>
        <w:rPr>
          <w:rFonts w:ascii="仿宋" w:eastAsia="仿宋" w:hAnsi="仿宋" w:hint="eastAsia"/>
          <w:sz w:val="28"/>
          <w:szCs w:val="28"/>
        </w:rPr>
      </w:pPr>
      <w:proofErr w:type="gramStart"/>
      <w:r w:rsidRPr="00423EC3">
        <w:rPr>
          <w:rFonts w:ascii="仿宋" w:eastAsia="仿宋" w:hAnsi="仿宋" w:hint="eastAsia"/>
          <w:sz w:val="28"/>
          <w:szCs w:val="28"/>
        </w:rPr>
        <w:t>中评协</w:t>
      </w:r>
      <w:proofErr w:type="gramEnd"/>
      <w:r w:rsidRPr="00423EC3">
        <w:rPr>
          <w:rFonts w:ascii="仿宋" w:eastAsia="仿宋" w:hAnsi="仿宋" w:hint="eastAsia"/>
          <w:sz w:val="28"/>
          <w:szCs w:val="28"/>
        </w:rPr>
        <w:t>[2013]219号</w:t>
      </w:r>
    </w:p>
    <w:p w:rsidR="002F7E61" w:rsidRDefault="002F7E61" w:rsidP="002F7E61"/>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各省、自治区、直辖市、计划单列市资产评估协会（注册会计师协会），各证券评估资格资产评估机构：</w:t>
      </w:r>
    </w:p>
    <w:p w:rsidR="002F7E61" w:rsidRPr="00423EC3" w:rsidRDefault="002F7E61" w:rsidP="00423EC3">
      <w:pPr>
        <w:rPr>
          <w:rFonts w:ascii="仿宋" w:eastAsia="仿宋" w:hAnsi="仿宋" w:hint="eastAsia"/>
          <w:sz w:val="28"/>
          <w:szCs w:val="28"/>
        </w:rPr>
      </w:pPr>
      <w:r w:rsidRPr="00423EC3">
        <w:rPr>
          <w:rFonts w:ascii="仿宋" w:eastAsia="仿宋" w:hAnsi="仿宋" w:hint="eastAsia"/>
          <w:sz w:val="28"/>
          <w:szCs w:val="28"/>
        </w:rPr>
        <w:t xml:space="preserve">　为贯彻落实资产评估行业发展规划，进一步拓展评估服务领域，更好地服务经济社会发展，中国资产评估协会（以下简称“中评协”）对资产评估市场业务类型进行全面梳理，制定了《资产评估行业市场开拓路线指引（2013年）》（以下简称《指引》），为开拓创新市场领域提供思路与途径。</w:t>
      </w:r>
    </w:p>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 xml:space="preserve">　　本次发布的内容包括当前资产评估行业已经开展的评估业务。随着市场领域不断拓宽，</w:t>
      </w:r>
      <w:proofErr w:type="gramStart"/>
      <w:r w:rsidRPr="00423EC3">
        <w:rPr>
          <w:rFonts w:ascii="仿宋" w:eastAsia="仿宋" w:hAnsi="仿宋" w:hint="eastAsia"/>
          <w:sz w:val="28"/>
          <w:szCs w:val="28"/>
        </w:rPr>
        <w:t>中评协</w:t>
      </w:r>
      <w:proofErr w:type="gramEnd"/>
      <w:r w:rsidRPr="00423EC3">
        <w:rPr>
          <w:rFonts w:ascii="仿宋" w:eastAsia="仿宋" w:hAnsi="仿宋" w:hint="eastAsia"/>
          <w:sz w:val="28"/>
          <w:szCs w:val="28"/>
        </w:rPr>
        <w:t>将在现有基础上对《指引》进行动态更新，不断丰富完善指引体系。</w:t>
      </w:r>
    </w:p>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 xml:space="preserve">　　各地</w:t>
      </w:r>
      <w:proofErr w:type="gramStart"/>
      <w:r w:rsidRPr="00423EC3">
        <w:rPr>
          <w:rFonts w:ascii="仿宋" w:eastAsia="仿宋" w:hAnsi="仿宋" w:hint="eastAsia"/>
          <w:sz w:val="28"/>
          <w:szCs w:val="28"/>
        </w:rPr>
        <w:t>方协会</w:t>
      </w:r>
      <w:proofErr w:type="gramEnd"/>
      <w:r w:rsidRPr="00423EC3">
        <w:rPr>
          <w:rFonts w:ascii="仿宋" w:eastAsia="仿宋" w:hAnsi="仿宋" w:hint="eastAsia"/>
          <w:sz w:val="28"/>
          <w:szCs w:val="28"/>
        </w:rPr>
        <w:t>要及时转发《指引》，结合各地实际情况，为行业拓展市场提供必要支持。资产评估机构要参照《指引》，结合本机构实际情况，积极开拓业务市场，并及时向我会研发部反馈信息。</w:t>
      </w:r>
    </w:p>
    <w:p w:rsidR="002F7E61" w:rsidRPr="00423EC3" w:rsidRDefault="002F7E61" w:rsidP="002F7E61">
      <w:pPr>
        <w:rPr>
          <w:rFonts w:ascii="仿宋" w:eastAsia="仿宋" w:hAnsi="仿宋"/>
          <w:sz w:val="28"/>
          <w:szCs w:val="28"/>
        </w:rPr>
      </w:pPr>
      <w:r w:rsidRPr="00423EC3">
        <w:rPr>
          <w:rFonts w:ascii="仿宋" w:eastAsia="仿宋" w:hAnsi="仿宋"/>
          <w:sz w:val="28"/>
          <w:szCs w:val="28"/>
        </w:rPr>
        <w:t xml:space="preserve">                       </w:t>
      </w:r>
    </w:p>
    <w:p w:rsidR="002F7E61" w:rsidRPr="00423EC3" w:rsidRDefault="002F7E61" w:rsidP="00423EC3">
      <w:pPr>
        <w:jc w:val="right"/>
        <w:rPr>
          <w:rFonts w:ascii="仿宋" w:eastAsia="仿宋" w:hAnsi="仿宋" w:hint="eastAsia"/>
          <w:sz w:val="28"/>
          <w:szCs w:val="28"/>
        </w:rPr>
      </w:pPr>
      <w:r w:rsidRPr="00423EC3">
        <w:rPr>
          <w:rFonts w:ascii="仿宋" w:eastAsia="仿宋" w:hAnsi="仿宋" w:hint="eastAsia"/>
          <w:sz w:val="28"/>
          <w:szCs w:val="28"/>
        </w:rPr>
        <w:t xml:space="preserve">             二〇一三年十一月二十日</w:t>
      </w:r>
    </w:p>
    <w:p w:rsidR="002F7E61" w:rsidRDefault="002F7E61" w:rsidP="002F7E61"/>
    <w:p w:rsidR="002F7E61" w:rsidRDefault="002F7E61" w:rsidP="002F7E61">
      <w:pPr>
        <w:rPr>
          <w:rFonts w:hint="eastAsia"/>
        </w:rPr>
      </w:pPr>
      <w:r>
        <w:t xml:space="preserve"> </w:t>
      </w:r>
    </w:p>
    <w:p w:rsidR="00423EC3" w:rsidRDefault="00423EC3" w:rsidP="002F7E61">
      <w:pPr>
        <w:rPr>
          <w:rFonts w:hint="eastAsia"/>
        </w:rPr>
      </w:pPr>
    </w:p>
    <w:p w:rsidR="00423EC3" w:rsidRDefault="00423EC3" w:rsidP="002F7E61">
      <w:pPr>
        <w:rPr>
          <w:rFonts w:hint="eastAsia"/>
        </w:rPr>
      </w:pPr>
    </w:p>
    <w:p w:rsidR="00423EC3" w:rsidRDefault="00423EC3" w:rsidP="002F7E61">
      <w:pPr>
        <w:rPr>
          <w:rFonts w:hint="eastAsia"/>
        </w:rPr>
      </w:pPr>
    </w:p>
    <w:p w:rsidR="00423EC3" w:rsidRDefault="00423EC3" w:rsidP="002F7E61"/>
    <w:p w:rsidR="002F7E61" w:rsidRDefault="002F7E61" w:rsidP="002F7E61"/>
    <w:p w:rsidR="002F7E61" w:rsidRPr="00423EC3" w:rsidRDefault="002F7E61" w:rsidP="00423EC3">
      <w:pPr>
        <w:jc w:val="center"/>
        <w:rPr>
          <w:rFonts w:ascii="黑体" w:eastAsia="黑体" w:hAnsi="黑体" w:hint="eastAsia"/>
          <w:b/>
          <w:sz w:val="32"/>
          <w:szCs w:val="32"/>
        </w:rPr>
      </w:pPr>
      <w:r w:rsidRPr="00423EC3">
        <w:rPr>
          <w:rFonts w:ascii="黑体" w:eastAsia="黑体" w:hAnsi="黑体" w:hint="eastAsia"/>
          <w:b/>
          <w:sz w:val="32"/>
          <w:szCs w:val="32"/>
        </w:rPr>
        <w:lastRenderedPageBreak/>
        <w:t>资产评估行业市场开拓路线指引（2013年）</w:t>
      </w:r>
    </w:p>
    <w:p w:rsidR="002F7E61" w:rsidRDefault="002F7E61" w:rsidP="002F7E61"/>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本指引包括以下内容：</w:t>
      </w:r>
    </w:p>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 xml:space="preserve">　　1.资产评估业务类型表。本指引包括18种评估业务类型， 对应78项经济行为。其中，估值类业务11种，对应经济行为47项，非估值类业务7种，对应经济行为31项。 </w:t>
      </w:r>
    </w:p>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 xml:space="preserve">　　2.资产评估业务类型简述。本指引对资产评估业务类型表的内容进行细化说明，列举了每种业务类型的业务范围、业务依据、专业胜任能力要求。其中业务依据为根据《公司法》、《物权法》、《担保法》、《企业国有资产法》或《国有资产评估管理办法》（国务院令第91号）等相关法律法规制定的直接政策依据。 </w:t>
      </w:r>
    </w:p>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 xml:space="preserve">　　3.估值类业务的评估对象涉及企业整体价值、股东全部权益价值、股东部分权益价值等企业价值评估；机器设备、珠宝首饰等动产评估；土地、建筑物等不动产评估；专利权、著作权、商标权、合同权益、销售网络、客户关系、特许经营权、品牌、商誉等无形资产评估；森林资源、矿产资源、海岛使用权、海域使用权、</w:t>
      </w:r>
      <w:proofErr w:type="gramStart"/>
      <w:r w:rsidRPr="00423EC3">
        <w:rPr>
          <w:rFonts w:ascii="仿宋" w:eastAsia="仿宋" w:hAnsi="仿宋" w:hint="eastAsia"/>
          <w:sz w:val="28"/>
          <w:szCs w:val="28"/>
        </w:rPr>
        <w:t>碳排放权</w:t>
      </w:r>
      <w:proofErr w:type="gramEnd"/>
      <w:r w:rsidRPr="00423EC3">
        <w:rPr>
          <w:rFonts w:ascii="仿宋" w:eastAsia="仿宋" w:hAnsi="仿宋" w:hint="eastAsia"/>
          <w:sz w:val="28"/>
          <w:szCs w:val="28"/>
        </w:rPr>
        <w:t>、债权等其他资产评估。</w:t>
      </w:r>
    </w:p>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 xml:space="preserve">    附：</w:t>
      </w:r>
    </w:p>
    <w:p w:rsidR="002F7E61" w:rsidRPr="00423EC3" w:rsidRDefault="002F7E61" w:rsidP="002F7E61">
      <w:pPr>
        <w:rPr>
          <w:rFonts w:ascii="仿宋" w:eastAsia="仿宋" w:hAnsi="仿宋" w:hint="eastAsia"/>
          <w:sz w:val="28"/>
          <w:szCs w:val="28"/>
        </w:rPr>
      </w:pPr>
      <w:r w:rsidRPr="00423EC3">
        <w:rPr>
          <w:rFonts w:ascii="仿宋" w:eastAsia="仿宋" w:hAnsi="仿宋" w:hint="eastAsia"/>
          <w:sz w:val="28"/>
          <w:szCs w:val="28"/>
        </w:rPr>
        <w:t xml:space="preserve">    一、资产评估业务类型表</w:t>
      </w:r>
    </w:p>
    <w:p w:rsidR="002F7E61" w:rsidRPr="00423EC3" w:rsidRDefault="002F7E61" w:rsidP="002F7E61">
      <w:pPr>
        <w:ind w:firstLine="405"/>
        <w:rPr>
          <w:rFonts w:ascii="仿宋" w:eastAsia="仿宋" w:hAnsi="仿宋" w:hint="eastAsia"/>
          <w:sz w:val="28"/>
          <w:szCs w:val="28"/>
        </w:rPr>
      </w:pPr>
      <w:r w:rsidRPr="00423EC3">
        <w:rPr>
          <w:rFonts w:ascii="仿宋" w:eastAsia="仿宋" w:hAnsi="仿宋" w:hint="eastAsia"/>
          <w:sz w:val="28"/>
          <w:szCs w:val="28"/>
        </w:rPr>
        <w:t>二、资产评估业务类型简述</w:t>
      </w:r>
    </w:p>
    <w:p w:rsidR="002F7E61" w:rsidRDefault="002F7E61" w:rsidP="002F7E61">
      <w:pPr>
        <w:ind w:firstLine="405"/>
        <w:rPr>
          <w:rFonts w:hint="eastAsia"/>
        </w:rPr>
      </w:pPr>
    </w:p>
    <w:p w:rsidR="00423EC3" w:rsidRDefault="00423EC3" w:rsidP="002F7E61">
      <w:pPr>
        <w:ind w:firstLine="405"/>
        <w:rPr>
          <w:rFonts w:hint="eastAsia"/>
        </w:rPr>
      </w:pPr>
    </w:p>
    <w:p w:rsidR="00423EC3" w:rsidRDefault="00423EC3" w:rsidP="002F7E61">
      <w:pPr>
        <w:ind w:firstLine="405"/>
        <w:rPr>
          <w:rFonts w:hint="eastAsia"/>
        </w:rPr>
      </w:pPr>
    </w:p>
    <w:p w:rsidR="00423EC3" w:rsidRDefault="00423EC3" w:rsidP="002F7E61">
      <w:pPr>
        <w:ind w:firstLine="405"/>
        <w:rPr>
          <w:rFonts w:hint="eastAsia"/>
        </w:rPr>
      </w:pPr>
    </w:p>
    <w:p w:rsidR="00423EC3" w:rsidRDefault="00423EC3" w:rsidP="002F7E61">
      <w:pPr>
        <w:ind w:firstLine="405"/>
        <w:rPr>
          <w:rFonts w:hint="eastAsia"/>
        </w:rPr>
      </w:pPr>
    </w:p>
    <w:p w:rsidR="002F7E61" w:rsidRDefault="002F7E61" w:rsidP="002F7E61">
      <w:pPr>
        <w:widowControl/>
        <w:jc w:val="left"/>
        <w:rPr>
          <w:rFonts w:ascii="楷体" w:eastAsia="楷体" w:hAnsi="楷体"/>
          <w:b/>
          <w:sz w:val="28"/>
          <w:szCs w:val="28"/>
        </w:rPr>
      </w:pPr>
      <w:r>
        <w:rPr>
          <w:rFonts w:ascii="楷体" w:eastAsia="楷体" w:hAnsi="楷体" w:hint="eastAsia"/>
          <w:b/>
          <w:sz w:val="28"/>
          <w:szCs w:val="28"/>
        </w:rPr>
        <w:lastRenderedPageBreak/>
        <w:t>附</w:t>
      </w:r>
      <w:proofErr w:type="gramStart"/>
      <w:r>
        <w:rPr>
          <w:rFonts w:ascii="楷体" w:eastAsia="楷体" w:hAnsi="楷体" w:hint="eastAsia"/>
          <w:b/>
          <w:sz w:val="28"/>
          <w:szCs w:val="28"/>
        </w:rPr>
        <w:t>一</w:t>
      </w:r>
      <w:proofErr w:type="gramEnd"/>
      <w:r>
        <w:rPr>
          <w:rFonts w:ascii="楷体" w:eastAsia="楷体" w:hAnsi="楷体" w:hint="eastAsia"/>
          <w:b/>
          <w:sz w:val="28"/>
          <w:szCs w:val="28"/>
        </w:rPr>
        <w:t>：资产评估业务类型表</w:t>
      </w:r>
    </w:p>
    <w:tbl>
      <w:tblPr>
        <w:tblW w:w="0" w:type="auto"/>
        <w:tblLayout w:type="fixed"/>
        <w:tblLook w:val="0000"/>
      </w:tblPr>
      <w:tblGrid>
        <w:gridCol w:w="1373"/>
        <w:gridCol w:w="1374"/>
        <w:gridCol w:w="1374"/>
        <w:gridCol w:w="1374"/>
        <w:gridCol w:w="3027"/>
      </w:tblGrid>
      <w:tr w:rsidR="002F7E61" w:rsidTr="0020552E">
        <w:tblPrEx>
          <w:tblCellMar>
            <w:top w:w="0" w:type="dxa"/>
            <w:bottom w:w="0" w:type="dxa"/>
          </w:tblCellMar>
        </w:tblPrEx>
        <w:trPr>
          <w:trHeight w:val="270"/>
          <w:tblHeader/>
        </w:trPr>
        <w:tc>
          <w:tcPr>
            <w:tcW w:w="2747" w:type="dxa"/>
            <w:gridSpan w:val="2"/>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业务类型</w:t>
            </w:r>
          </w:p>
        </w:tc>
        <w:tc>
          <w:tcPr>
            <w:tcW w:w="1374" w:type="dxa"/>
            <w:tcBorders>
              <w:top w:val="single" w:sz="4" w:space="0" w:color="auto"/>
              <w:left w:val="nil"/>
              <w:bottom w:val="single" w:sz="4" w:space="0" w:color="auto"/>
              <w:right w:val="single" w:sz="4" w:space="0" w:color="auto"/>
            </w:tcBorders>
            <w:vAlign w:val="center"/>
          </w:tcPr>
          <w:p w:rsidR="002F7E61" w:rsidRDefault="002F7E61" w:rsidP="0020552E">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业务名称</w:t>
            </w:r>
          </w:p>
        </w:tc>
        <w:tc>
          <w:tcPr>
            <w:tcW w:w="1374" w:type="dxa"/>
            <w:tcBorders>
              <w:top w:val="single" w:sz="4" w:space="0" w:color="auto"/>
              <w:left w:val="nil"/>
              <w:bottom w:val="single" w:sz="4" w:space="0" w:color="auto"/>
              <w:right w:val="single" w:sz="4" w:space="0" w:color="auto"/>
            </w:tcBorders>
            <w:vAlign w:val="center"/>
          </w:tcPr>
          <w:p w:rsidR="002F7E61" w:rsidRDefault="002F7E61" w:rsidP="0020552E">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序号</w:t>
            </w:r>
          </w:p>
        </w:tc>
        <w:tc>
          <w:tcPr>
            <w:tcW w:w="3027" w:type="dxa"/>
            <w:tcBorders>
              <w:top w:val="single" w:sz="4" w:space="0" w:color="auto"/>
              <w:left w:val="nil"/>
              <w:bottom w:val="single" w:sz="4" w:space="0" w:color="auto"/>
              <w:right w:val="single" w:sz="4" w:space="0" w:color="auto"/>
            </w:tcBorders>
            <w:vAlign w:val="center"/>
          </w:tcPr>
          <w:p w:rsidR="002F7E61" w:rsidRDefault="002F7E61" w:rsidP="0020552E">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经济行为</w:t>
            </w:r>
          </w:p>
        </w:tc>
      </w:tr>
      <w:tr w:rsidR="002F7E61" w:rsidTr="0020552E">
        <w:tblPrEx>
          <w:tblCellMar>
            <w:top w:w="0" w:type="dxa"/>
            <w:bottom w:w="0" w:type="dxa"/>
          </w:tblCellMar>
        </w:tblPrEx>
        <w:trPr>
          <w:trHeight w:hRule="exact" w:val="340"/>
        </w:trPr>
        <w:tc>
          <w:tcPr>
            <w:tcW w:w="2747" w:type="dxa"/>
            <w:gridSpan w:val="2"/>
            <w:vMerge w:val="restart"/>
            <w:tcBorders>
              <w:top w:val="single" w:sz="4" w:space="0" w:color="auto"/>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估值类业务</w:t>
            </w: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单项资产</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1</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资产转让</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2</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资产拍卖</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3</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资产偿债</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4</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资产租赁</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5</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资产抵押</w:t>
            </w:r>
            <w:r>
              <w:rPr>
                <w:rFonts w:ascii="Times New Roman" w:hAnsi="Times New Roman" w:hint="eastAsia"/>
                <w:color w:val="000000"/>
                <w:kern w:val="0"/>
                <w:sz w:val="20"/>
                <w:szCs w:val="20"/>
              </w:rPr>
              <w:t>/</w:t>
            </w:r>
            <w:r>
              <w:rPr>
                <w:rFonts w:ascii="Times New Roman" w:hAnsi="Times New Roman" w:hint="eastAsia"/>
                <w:color w:val="000000"/>
                <w:kern w:val="0"/>
                <w:sz w:val="20"/>
                <w:szCs w:val="20"/>
              </w:rPr>
              <w:t>质押</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6</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资产重组</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7</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资产捐赠</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8</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资产补偿</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9</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资产涉讼</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10</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认定报关价格</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11</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对外投资</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12</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接受投资</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13</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接受抵债资产</w:t>
            </w:r>
          </w:p>
        </w:tc>
      </w:tr>
      <w:tr w:rsidR="002F7E61" w:rsidTr="0020552E">
        <w:tblPrEx>
          <w:tblCellMar>
            <w:top w:w="0" w:type="dxa"/>
            <w:bottom w:w="0" w:type="dxa"/>
          </w:tblCellMar>
        </w:tblPrEx>
        <w:trPr>
          <w:trHeight w:hRule="exact" w:val="34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14</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宋体" w:hAnsi="宋体" w:cs="宋体" w:hint="eastAsia"/>
                <w:color w:val="000000"/>
                <w:kern w:val="0"/>
                <w:sz w:val="20"/>
                <w:szCs w:val="20"/>
              </w:rPr>
              <w:t>债务重组及其他</w:t>
            </w:r>
          </w:p>
        </w:tc>
      </w:tr>
      <w:tr w:rsidR="002F7E61" w:rsidTr="0020552E">
        <w:tblPrEx>
          <w:tblCellMar>
            <w:top w:w="0" w:type="dxa"/>
            <w:bottom w:w="0" w:type="dxa"/>
          </w:tblCellMar>
        </w:tblPrEx>
        <w:trPr>
          <w:trHeight w:val="27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宋体" w:hAnsi="宋体"/>
                <w:sz w:val="20"/>
                <w:szCs w:val="20"/>
              </w:rPr>
            </w:pPr>
            <w:r>
              <w:rPr>
                <w:rFonts w:ascii="宋体" w:hAnsi="宋体" w:cs="宋体" w:hint="eastAsia"/>
                <w:color w:val="000000"/>
                <w:kern w:val="0"/>
                <w:sz w:val="20"/>
                <w:szCs w:val="20"/>
              </w:rPr>
              <w:t>公司制改建</w:t>
            </w:r>
            <w:r>
              <w:rPr>
                <w:rFonts w:ascii="宋体" w:hAnsi="宋体" w:hint="eastAsia"/>
                <w:sz w:val="20"/>
                <w:szCs w:val="20"/>
              </w:rPr>
              <w:t>整体资产</w:t>
            </w:r>
          </w:p>
          <w:p w:rsidR="002F7E61" w:rsidRDefault="002F7E61" w:rsidP="0020552E">
            <w:pPr>
              <w:widowControl/>
              <w:jc w:val="center"/>
              <w:rPr>
                <w:rFonts w:ascii="宋体" w:hAnsi="宋体" w:cs="宋体"/>
                <w:color w:val="000000"/>
                <w:kern w:val="0"/>
                <w:sz w:val="20"/>
                <w:szCs w:val="20"/>
              </w:rPr>
            </w:pPr>
            <w:r>
              <w:rPr>
                <w:rFonts w:ascii="宋体" w:hAnsi="宋体" w:hint="eastAsia"/>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15</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公司制改建</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企业并购</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16</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企业合并</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17</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企业分立</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18</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企业破产</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19</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企业清算</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20</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企业解散</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产权变动</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21</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增资扩股</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22</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IPO</w:t>
            </w:r>
            <w:r>
              <w:rPr>
                <w:rFonts w:ascii="宋体" w:hAnsi="宋体" w:hint="eastAsia"/>
                <w:color w:val="000000"/>
                <w:kern w:val="0"/>
                <w:sz w:val="20"/>
                <w:szCs w:val="20"/>
              </w:rPr>
              <w:t>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23</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股权转让</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24</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债转股</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上市公司</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并购重组</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25</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重大资产重组</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26</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上市公司收购</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27</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资产置换</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28</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发行股份购买资产</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29</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定向增发</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30</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hint="eastAsia"/>
                <w:color w:val="000000"/>
                <w:kern w:val="0"/>
                <w:sz w:val="20"/>
                <w:szCs w:val="20"/>
              </w:rPr>
              <w:t>借壳上市</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司法</w:t>
            </w:r>
            <w:proofErr w:type="gramStart"/>
            <w:r>
              <w:rPr>
                <w:rFonts w:ascii="宋体" w:hAnsi="宋体" w:cs="宋体" w:hint="eastAsia"/>
                <w:color w:val="000000"/>
                <w:kern w:val="0"/>
                <w:sz w:val="20"/>
                <w:szCs w:val="20"/>
              </w:rPr>
              <w:t>鉴证</w:t>
            </w:r>
            <w:proofErr w:type="gramEnd"/>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31</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资产损害赔偿鉴定评估</w:t>
            </w:r>
          </w:p>
        </w:tc>
      </w:tr>
      <w:tr w:rsidR="002F7E61" w:rsidTr="0020552E">
        <w:tblPrEx>
          <w:tblCellMar>
            <w:top w:w="0" w:type="dxa"/>
            <w:bottom w:w="0" w:type="dxa"/>
          </w:tblCellMar>
        </w:tblPrEx>
        <w:trPr>
          <w:trHeight w:val="48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32</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债务纠纷涉及的资产拍卖(变卖)价值鉴定评估</w:t>
            </w:r>
          </w:p>
        </w:tc>
      </w:tr>
      <w:tr w:rsidR="002F7E61" w:rsidTr="0020552E">
        <w:tblPrEx>
          <w:tblCellMar>
            <w:top w:w="0" w:type="dxa"/>
            <w:bottom w:w="0" w:type="dxa"/>
          </w:tblCellMar>
        </w:tblPrEx>
        <w:trPr>
          <w:trHeight w:val="480"/>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33</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民事案件涉诉标的价值的估算</w:t>
            </w:r>
          </w:p>
        </w:tc>
      </w:tr>
      <w:tr w:rsidR="002F7E61" w:rsidTr="0020552E">
        <w:tblPrEx>
          <w:tblCellMar>
            <w:top w:w="0" w:type="dxa"/>
            <w:bottom w:w="0" w:type="dxa"/>
          </w:tblCellMar>
        </w:tblPrEx>
        <w:trPr>
          <w:trHeight w:val="480"/>
        </w:trPr>
        <w:tc>
          <w:tcPr>
            <w:tcW w:w="2747" w:type="dxa"/>
            <w:gridSpan w:val="2"/>
            <w:vMerge/>
            <w:tcBorders>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34</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刑事案件定罪量刑中相关损失的估算</w:t>
            </w:r>
          </w:p>
        </w:tc>
      </w:tr>
      <w:tr w:rsidR="002F7E61" w:rsidTr="0020552E">
        <w:tblPrEx>
          <w:tblCellMar>
            <w:top w:w="0" w:type="dxa"/>
            <w:bottom w:w="0" w:type="dxa"/>
          </w:tblCellMar>
        </w:tblPrEx>
        <w:trPr>
          <w:trHeight w:hRule="exact" w:val="329"/>
        </w:trPr>
        <w:tc>
          <w:tcPr>
            <w:tcW w:w="2747" w:type="dxa"/>
            <w:gridSpan w:val="2"/>
            <w:vMerge w:val="restart"/>
            <w:tcBorders>
              <w:top w:val="single" w:sz="4" w:space="0" w:color="auto"/>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估值类业务</w:t>
            </w: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服务于    会计核算的</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35</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资产或资产组减值测试评估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36</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非货币性资产公允价值评估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37</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金融工具公允价值评估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38</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合并对价分摊评估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shd w:val="clear" w:color="auto" w:fill="auto"/>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bottom w:val="single" w:sz="4" w:space="0" w:color="auto"/>
              <w:right w:val="single" w:sz="4" w:space="0" w:color="auto"/>
            </w:tcBorders>
            <w:shd w:val="clear" w:color="000000" w:fill="FFFFFF"/>
            <w:vAlign w:val="center"/>
          </w:tcPr>
          <w:p w:rsidR="002F7E61" w:rsidRDefault="002F7E61" w:rsidP="0020552E">
            <w:pPr>
              <w:widowControl/>
              <w:ind w:leftChars="-92" w:left="-193" w:rightChars="-98" w:right="-206"/>
              <w:jc w:val="center"/>
              <w:rPr>
                <w:rFonts w:ascii="宋体" w:hAnsi="宋体" w:cs="宋体"/>
                <w:color w:val="000000"/>
                <w:kern w:val="0"/>
                <w:sz w:val="20"/>
                <w:szCs w:val="20"/>
              </w:rPr>
            </w:pPr>
            <w:r>
              <w:rPr>
                <w:rFonts w:ascii="宋体" w:hAnsi="宋体" w:cs="宋体" w:hint="eastAsia"/>
                <w:color w:val="000000"/>
                <w:kern w:val="0"/>
                <w:sz w:val="20"/>
                <w:szCs w:val="20"/>
              </w:rPr>
              <w:t>海外并购/投资</w:t>
            </w:r>
          </w:p>
          <w:p w:rsidR="002F7E61" w:rsidRDefault="002F7E61" w:rsidP="0020552E">
            <w:pPr>
              <w:widowControl/>
              <w:ind w:leftChars="-92" w:left="-193" w:rightChars="-98" w:right="-206"/>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39</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海外并购</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40</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海外投资</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shd w:val="clear" w:color="auto" w:fill="auto"/>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bottom w:val="single" w:sz="4" w:space="0" w:color="auto"/>
              <w:right w:val="single" w:sz="4" w:space="0" w:color="auto"/>
            </w:tcBorders>
            <w:shd w:val="clear" w:color="000000" w:fill="FFFFFF"/>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PE/VC</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41</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PE</w:t>
            </w:r>
            <w:r>
              <w:rPr>
                <w:rFonts w:ascii="宋体" w:hAnsi="宋体" w:hint="eastAsia"/>
                <w:color w:val="000000"/>
                <w:kern w:val="0"/>
                <w:sz w:val="20"/>
                <w:szCs w:val="20"/>
              </w:rPr>
              <w:t>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42</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VC</w:t>
            </w:r>
            <w:r>
              <w:rPr>
                <w:rFonts w:ascii="宋体" w:hAnsi="宋体" w:hint="eastAsia"/>
                <w:color w:val="000000"/>
                <w:kern w:val="0"/>
                <w:sz w:val="20"/>
                <w:szCs w:val="20"/>
              </w:rPr>
              <w:t>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生态/环境</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评估业务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43</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proofErr w:type="gramStart"/>
            <w:r>
              <w:rPr>
                <w:rFonts w:ascii="宋体" w:hAnsi="宋体" w:cs="宋体" w:hint="eastAsia"/>
                <w:color w:val="000000"/>
                <w:kern w:val="0"/>
                <w:sz w:val="20"/>
                <w:szCs w:val="20"/>
              </w:rPr>
              <w:t>碳排放权</w:t>
            </w:r>
            <w:proofErr w:type="gramEnd"/>
            <w:r>
              <w:rPr>
                <w:rFonts w:ascii="宋体" w:hAnsi="宋体" w:cs="宋体" w:hint="eastAsia"/>
                <w:color w:val="000000"/>
                <w:kern w:val="0"/>
                <w:sz w:val="20"/>
                <w:szCs w:val="20"/>
              </w:rPr>
              <w:t>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44</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生态补偿价值评估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45</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环境损失评估</w:t>
            </w:r>
          </w:p>
        </w:tc>
      </w:tr>
      <w:tr w:rsidR="002F7E61" w:rsidTr="0020552E">
        <w:tblPrEx>
          <w:tblCellMar>
            <w:top w:w="0" w:type="dxa"/>
            <w:bottom w:w="0" w:type="dxa"/>
          </w:tblCellMar>
        </w:tblPrEx>
        <w:trPr>
          <w:trHeight w:hRule="exact" w:val="329"/>
        </w:trPr>
        <w:tc>
          <w:tcPr>
            <w:tcW w:w="2747" w:type="dxa"/>
            <w:gridSpan w:val="2"/>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46</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森林生态价值评估</w:t>
            </w:r>
          </w:p>
        </w:tc>
      </w:tr>
      <w:tr w:rsidR="002F7E61" w:rsidTr="0020552E">
        <w:tblPrEx>
          <w:tblCellMar>
            <w:top w:w="0" w:type="dxa"/>
            <w:bottom w:w="0" w:type="dxa"/>
          </w:tblCellMar>
        </w:tblPrEx>
        <w:trPr>
          <w:trHeight w:hRule="exact" w:val="695"/>
        </w:trPr>
        <w:tc>
          <w:tcPr>
            <w:tcW w:w="2747" w:type="dxa"/>
            <w:gridSpan w:val="2"/>
            <w:vMerge/>
            <w:tcBorders>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single" w:sz="4" w:space="0" w:color="auto"/>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税基</w:t>
            </w:r>
          </w:p>
          <w:p w:rsidR="002F7E61" w:rsidRDefault="002F7E61" w:rsidP="0020552E">
            <w:pPr>
              <w:widowControl/>
              <w:jc w:val="center"/>
              <w:rPr>
                <w:rFonts w:ascii="Times New Roman" w:hAnsi="Times New Roman"/>
                <w:color w:val="000000"/>
                <w:kern w:val="0"/>
                <w:sz w:val="20"/>
                <w:szCs w:val="20"/>
              </w:rPr>
            </w:pPr>
            <w:r>
              <w:rPr>
                <w:rFonts w:ascii="Times New Roman" w:hAnsi="Times New Roman"/>
                <w:color w:val="000000"/>
                <w:kern w:val="0"/>
                <w:sz w:val="20"/>
                <w:szCs w:val="20"/>
              </w:rPr>
              <w:t>评估</w:t>
            </w:r>
            <w:r>
              <w:rPr>
                <w:rFonts w:ascii="Times New Roman" w:hAnsi="Times New Roman" w:hint="eastAsia"/>
                <w:color w:val="000000"/>
                <w:kern w:val="0"/>
                <w:sz w:val="20"/>
                <w:szCs w:val="20"/>
              </w:rPr>
              <w:t>业务</w:t>
            </w:r>
          </w:p>
        </w:tc>
        <w:tc>
          <w:tcPr>
            <w:tcW w:w="1374" w:type="dxa"/>
            <w:tcBorders>
              <w:top w:val="single" w:sz="4" w:space="0" w:color="auto"/>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47</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计税价格评估</w:t>
            </w:r>
          </w:p>
        </w:tc>
      </w:tr>
      <w:tr w:rsidR="002F7E61" w:rsidTr="0020552E">
        <w:tblPrEx>
          <w:tblCellMar>
            <w:top w:w="0" w:type="dxa"/>
            <w:bottom w:w="0" w:type="dxa"/>
          </w:tblCellMar>
        </w:tblPrEx>
        <w:trPr>
          <w:trHeight w:hRule="exact" w:val="329"/>
        </w:trPr>
        <w:tc>
          <w:tcPr>
            <w:tcW w:w="1373" w:type="dxa"/>
            <w:vMerge w:val="restart"/>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非估值类</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业务</w:t>
            </w:r>
          </w:p>
        </w:tc>
        <w:tc>
          <w:tcPr>
            <w:tcW w:w="1374" w:type="dxa"/>
            <w:vMerge w:val="restart"/>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评审评价类</w:t>
            </w:r>
          </w:p>
        </w:tc>
        <w:tc>
          <w:tcPr>
            <w:tcW w:w="1374" w:type="dxa"/>
            <w:vMerge w:val="restart"/>
            <w:tcBorders>
              <w:top w:val="single" w:sz="4" w:space="0" w:color="auto"/>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财政资金</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评价业务</w:t>
            </w:r>
          </w:p>
        </w:tc>
        <w:tc>
          <w:tcPr>
            <w:tcW w:w="1374" w:type="dxa"/>
            <w:tcBorders>
              <w:top w:val="single" w:sz="4" w:space="0" w:color="auto"/>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48</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财政资金绩效评价</w:t>
            </w:r>
          </w:p>
        </w:tc>
      </w:tr>
      <w:tr w:rsidR="002F7E61" w:rsidTr="0020552E">
        <w:tblPrEx>
          <w:tblCellMar>
            <w:top w:w="0" w:type="dxa"/>
            <w:bottom w:w="0" w:type="dxa"/>
          </w:tblCellMar>
        </w:tblPrEx>
        <w:trPr>
          <w:trHeight w:hRule="exact" w:val="747"/>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49</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国有资本经营预算支出项目绩效评价</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50</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中小企业发展专项资金评审</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r>
              <w:rPr>
                <w:rFonts w:ascii="宋体" w:hAnsi="宋体" w:cs="宋体" w:hint="eastAsia"/>
                <w:kern w:val="0"/>
                <w:sz w:val="20"/>
                <w:szCs w:val="20"/>
              </w:rPr>
              <w:t>企业绩效</w:t>
            </w:r>
          </w:p>
          <w:p w:rsidR="002F7E61" w:rsidRDefault="002F7E61" w:rsidP="0020552E">
            <w:pPr>
              <w:widowControl/>
              <w:jc w:val="center"/>
              <w:rPr>
                <w:rFonts w:ascii="宋体" w:hAnsi="宋体" w:cs="宋体"/>
                <w:kern w:val="0"/>
                <w:sz w:val="20"/>
                <w:szCs w:val="20"/>
              </w:rPr>
            </w:pPr>
            <w:r>
              <w:rPr>
                <w:rFonts w:ascii="宋体" w:hAnsi="宋体" w:cs="宋体" w:hint="eastAsia"/>
                <w:kern w:val="0"/>
                <w:sz w:val="20"/>
                <w:szCs w:val="20"/>
              </w:rPr>
              <w:t>评价业务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51</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企业绩效评价</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52</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金融企业绩效评价</w:t>
            </w:r>
          </w:p>
        </w:tc>
      </w:tr>
      <w:tr w:rsidR="002F7E61" w:rsidTr="0020552E">
        <w:tblPrEx>
          <w:tblCellMar>
            <w:top w:w="0" w:type="dxa"/>
            <w:bottom w:w="0" w:type="dxa"/>
          </w:tblCellMar>
        </w:tblPrEx>
        <w:trPr>
          <w:trHeight w:hRule="exact" w:val="701"/>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53</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现代服务业综合试点工作绩效</w:t>
            </w:r>
          </w:p>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评价</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54</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上市公司业绩评价</w:t>
            </w:r>
          </w:p>
        </w:tc>
      </w:tr>
      <w:tr w:rsidR="002F7E61" w:rsidTr="0020552E">
        <w:tblPrEx>
          <w:tblCellMar>
            <w:top w:w="0" w:type="dxa"/>
            <w:bottom w:w="0" w:type="dxa"/>
          </w:tblCellMar>
        </w:tblPrEx>
        <w:trPr>
          <w:trHeight w:hRule="exact" w:val="65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ind w:leftChars="-92" w:left="-193" w:rightChars="-98" w:right="-206"/>
              <w:jc w:val="center"/>
              <w:rPr>
                <w:rFonts w:ascii="宋体" w:hAnsi="宋体" w:cs="宋体"/>
                <w:kern w:val="0"/>
                <w:sz w:val="20"/>
                <w:szCs w:val="20"/>
              </w:rPr>
            </w:pPr>
            <w:r>
              <w:rPr>
                <w:rFonts w:ascii="宋体" w:hAnsi="宋体" w:cs="宋体" w:hint="eastAsia"/>
                <w:kern w:val="0"/>
                <w:sz w:val="20"/>
                <w:szCs w:val="20"/>
              </w:rPr>
              <w:t>企业内控控制</w:t>
            </w:r>
          </w:p>
          <w:p w:rsidR="002F7E61" w:rsidRDefault="002F7E61" w:rsidP="0020552E">
            <w:pPr>
              <w:widowControl/>
              <w:ind w:leftChars="-92" w:left="-193" w:rightChars="-98" w:right="-206"/>
              <w:jc w:val="center"/>
              <w:rPr>
                <w:rFonts w:ascii="宋体" w:hAnsi="宋体" w:cs="宋体"/>
                <w:kern w:val="0"/>
                <w:sz w:val="20"/>
                <w:szCs w:val="20"/>
              </w:rPr>
            </w:pPr>
            <w:r>
              <w:rPr>
                <w:rFonts w:ascii="宋体" w:hAnsi="宋体" w:cs="宋体" w:hint="eastAsia"/>
                <w:kern w:val="0"/>
                <w:sz w:val="20"/>
                <w:szCs w:val="20"/>
              </w:rPr>
              <w:t>评价业务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55</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企业内控控制评价</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single" w:sz="4" w:space="0" w:color="auto"/>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管理咨询类</w:t>
            </w:r>
          </w:p>
        </w:tc>
        <w:tc>
          <w:tcPr>
            <w:tcW w:w="1374" w:type="dxa"/>
            <w:vMerge w:val="restart"/>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r>
              <w:rPr>
                <w:rFonts w:ascii="宋体" w:hAnsi="宋体" w:cs="宋体" w:hint="eastAsia"/>
                <w:kern w:val="0"/>
                <w:sz w:val="20"/>
                <w:szCs w:val="20"/>
              </w:rPr>
              <w:t>为政府及其职能部门</w:t>
            </w:r>
          </w:p>
          <w:p w:rsidR="002F7E61" w:rsidRDefault="002F7E61" w:rsidP="0020552E">
            <w:pPr>
              <w:widowControl/>
              <w:jc w:val="center"/>
              <w:rPr>
                <w:rFonts w:ascii="宋体" w:hAnsi="宋体" w:cs="宋体"/>
                <w:kern w:val="0"/>
                <w:sz w:val="20"/>
                <w:szCs w:val="20"/>
              </w:rPr>
            </w:pPr>
            <w:r>
              <w:rPr>
                <w:rFonts w:ascii="宋体" w:hAnsi="宋体" w:cs="宋体" w:hint="eastAsia"/>
                <w:kern w:val="0"/>
                <w:sz w:val="20"/>
                <w:szCs w:val="20"/>
              </w:rPr>
              <w:t>提供的管理咨询业务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56</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kern w:val="0"/>
                <w:sz w:val="20"/>
                <w:szCs w:val="20"/>
              </w:rPr>
            </w:pPr>
            <w:r>
              <w:rPr>
                <w:rFonts w:ascii="Times New Roman" w:hAnsi="Times New Roman"/>
                <w:kern w:val="0"/>
                <w:sz w:val="20"/>
                <w:szCs w:val="20"/>
              </w:rPr>
              <w:t>质量信用评估</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57</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社会组织评估</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58</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预算绩效管理咨询</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59</w:t>
            </w:r>
          </w:p>
        </w:tc>
        <w:tc>
          <w:tcPr>
            <w:tcW w:w="3027" w:type="dxa"/>
            <w:tcBorders>
              <w:top w:val="nil"/>
              <w:left w:val="nil"/>
              <w:bottom w:val="single" w:sz="4" w:space="0" w:color="auto"/>
              <w:right w:val="single" w:sz="4" w:space="0" w:color="auto"/>
            </w:tcBorders>
            <w:vAlign w:val="center"/>
          </w:tcPr>
          <w:p w:rsidR="002F7E61" w:rsidRDefault="002F7E61" w:rsidP="0020552E">
            <w:pPr>
              <w:widowControl/>
              <w:rPr>
                <w:rFonts w:ascii="宋体" w:hAnsi="宋体" w:cs="宋体"/>
                <w:kern w:val="0"/>
                <w:sz w:val="20"/>
                <w:szCs w:val="20"/>
              </w:rPr>
            </w:pPr>
            <w:r>
              <w:rPr>
                <w:rFonts w:ascii="宋体" w:hAnsi="宋体" w:cs="宋体" w:hint="eastAsia"/>
                <w:kern w:val="0"/>
                <w:sz w:val="20"/>
                <w:szCs w:val="20"/>
              </w:rPr>
              <w:t>证券公司合</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性评估</w:t>
            </w:r>
          </w:p>
        </w:tc>
      </w:tr>
      <w:tr w:rsidR="002F7E61" w:rsidTr="0020552E">
        <w:tblPrEx>
          <w:tblCellMar>
            <w:top w:w="0" w:type="dxa"/>
            <w:bottom w:w="0" w:type="dxa"/>
          </w:tblCellMar>
        </w:tblPrEx>
        <w:trPr>
          <w:trHeight w:hRule="exact" w:val="593"/>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kern w:val="0"/>
                <w:sz w:val="20"/>
                <w:szCs w:val="20"/>
              </w:rPr>
            </w:pPr>
            <w:r>
              <w:rPr>
                <w:rFonts w:ascii="宋体" w:hAnsi="宋体" w:cs="宋体" w:hint="eastAsia"/>
                <w:kern w:val="0"/>
                <w:sz w:val="20"/>
                <w:szCs w:val="20"/>
              </w:rPr>
              <w:t>为企业日常经营提供的管理咨询</w:t>
            </w:r>
          </w:p>
          <w:p w:rsidR="002F7E61" w:rsidRDefault="002F7E61" w:rsidP="0020552E">
            <w:pPr>
              <w:widowControl/>
              <w:jc w:val="center"/>
              <w:rPr>
                <w:rFonts w:ascii="宋体" w:hAnsi="宋体" w:cs="宋体"/>
                <w:kern w:val="0"/>
                <w:sz w:val="20"/>
                <w:szCs w:val="20"/>
              </w:rPr>
            </w:pPr>
            <w:r>
              <w:rPr>
                <w:rFonts w:ascii="宋体" w:hAnsi="宋体" w:cs="宋体" w:hint="eastAsia"/>
                <w:kern w:val="0"/>
                <w:sz w:val="20"/>
                <w:szCs w:val="20"/>
              </w:rPr>
              <w:t>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60</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kern w:val="0"/>
                <w:sz w:val="20"/>
                <w:szCs w:val="20"/>
              </w:rPr>
            </w:pPr>
            <w:r>
              <w:rPr>
                <w:rFonts w:ascii="宋体" w:hAnsi="宋体" w:cs="宋体" w:hint="eastAsia"/>
                <w:kern w:val="0"/>
                <w:sz w:val="20"/>
                <w:szCs w:val="20"/>
              </w:rPr>
              <w:t>投资项目可行性研究评估、决策分析</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61</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品牌评价及管理</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62</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资产管理</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63</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人力资源管理咨询</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64</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激励约束机制设计及评价</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65</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流程重构</w:t>
            </w:r>
            <w:r>
              <w:rPr>
                <w:rFonts w:ascii="Times New Roman" w:hAnsi="Times New Roman"/>
                <w:color w:val="000000"/>
                <w:kern w:val="0"/>
                <w:sz w:val="20"/>
                <w:szCs w:val="20"/>
              </w:rPr>
              <w:t>/</w:t>
            </w:r>
            <w:r>
              <w:rPr>
                <w:rFonts w:ascii="Times New Roman" w:hAnsi="Times New Roman"/>
                <w:color w:val="000000"/>
                <w:kern w:val="0"/>
                <w:sz w:val="20"/>
                <w:szCs w:val="20"/>
              </w:rPr>
              <w:t>重整</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66</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风险管理</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67</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价值管理</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68</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color w:val="000000"/>
                <w:kern w:val="0"/>
                <w:sz w:val="20"/>
                <w:szCs w:val="20"/>
              </w:rPr>
            </w:pPr>
            <w:r>
              <w:rPr>
                <w:rFonts w:ascii="Times New Roman" w:hAnsi="Times New Roman"/>
                <w:color w:val="000000"/>
                <w:kern w:val="0"/>
                <w:sz w:val="20"/>
                <w:szCs w:val="20"/>
              </w:rPr>
              <w:t>战略管理</w:t>
            </w:r>
          </w:p>
        </w:tc>
      </w:tr>
      <w:tr w:rsidR="002F7E61" w:rsidTr="0020552E">
        <w:tblPrEx>
          <w:tblCellMar>
            <w:top w:w="0" w:type="dxa"/>
            <w:bottom w:w="0" w:type="dxa"/>
          </w:tblCellMar>
        </w:tblPrEx>
        <w:trPr>
          <w:trHeight w:hRule="exact" w:val="329"/>
        </w:trPr>
        <w:tc>
          <w:tcPr>
            <w:tcW w:w="1373"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kern w:val="0"/>
                <w:sz w:val="20"/>
                <w:szCs w:val="20"/>
              </w:rPr>
            </w:pPr>
            <w:r>
              <w:rPr>
                <w:rFonts w:ascii="Times New Roman" w:hAnsi="Times New Roman" w:hint="eastAsia"/>
                <w:kern w:val="0"/>
                <w:sz w:val="20"/>
                <w:szCs w:val="20"/>
              </w:rPr>
              <w:t>69</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Times New Roman" w:hAnsi="Times New Roman"/>
                <w:kern w:val="0"/>
                <w:sz w:val="20"/>
                <w:szCs w:val="20"/>
              </w:rPr>
            </w:pPr>
            <w:r>
              <w:rPr>
                <w:rFonts w:ascii="宋体" w:hAnsi="宋体" w:cs="宋体" w:hint="eastAsia"/>
                <w:kern w:val="0"/>
                <w:sz w:val="20"/>
                <w:szCs w:val="20"/>
              </w:rPr>
              <w:t>尽职调查</w:t>
            </w:r>
          </w:p>
        </w:tc>
      </w:tr>
      <w:tr w:rsidR="002F7E61" w:rsidTr="0020552E">
        <w:tblPrEx>
          <w:tblCellMar>
            <w:top w:w="0" w:type="dxa"/>
            <w:bottom w:w="0" w:type="dxa"/>
          </w:tblCellMar>
        </w:tblPrEx>
        <w:trPr>
          <w:trHeight w:val="480"/>
        </w:trPr>
        <w:tc>
          <w:tcPr>
            <w:tcW w:w="1373" w:type="dxa"/>
            <w:vMerge w:val="restart"/>
            <w:tcBorders>
              <w:top w:val="single" w:sz="4" w:space="0" w:color="auto"/>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非估值类</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业务</w:t>
            </w:r>
          </w:p>
        </w:tc>
        <w:tc>
          <w:tcPr>
            <w:tcW w:w="1374" w:type="dxa"/>
            <w:vMerge w:val="restart"/>
            <w:tcBorders>
              <w:top w:val="single" w:sz="4" w:space="0" w:color="auto"/>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管理咨询类</w:t>
            </w:r>
          </w:p>
        </w:tc>
        <w:tc>
          <w:tcPr>
            <w:tcW w:w="1374" w:type="dxa"/>
            <w:vMerge w:val="restart"/>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为企业特定经济行为</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提供的管理</w:t>
            </w:r>
          </w:p>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咨询业务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70</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并购重组的交易结构、路径、</w:t>
            </w:r>
          </w:p>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方案等咨询业务</w:t>
            </w:r>
          </w:p>
        </w:tc>
      </w:tr>
      <w:tr w:rsidR="002F7E61" w:rsidTr="0020552E">
        <w:tblPrEx>
          <w:tblCellMar>
            <w:top w:w="0" w:type="dxa"/>
            <w:bottom w:w="0" w:type="dxa"/>
          </w:tblCellMar>
        </w:tblPrEx>
        <w:trPr>
          <w:trHeight w:val="270"/>
        </w:trPr>
        <w:tc>
          <w:tcPr>
            <w:tcW w:w="1373"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71</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并购重组的税收问题咨询</w:t>
            </w:r>
          </w:p>
        </w:tc>
      </w:tr>
      <w:tr w:rsidR="002F7E61" w:rsidTr="0020552E">
        <w:tblPrEx>
          <w:tblCellMar>
            <w:top w:w="0" w:type="dxa"/>
            <w:bottom w:w="0" w:type="dxa"/>
          </w:tblCellMar>
        </w:tblPrEx>
        <w:trPr>
          <w:trHeight w:val="480"/>
        </w:trPr>
        <w:tc>
          <w:tcPr>
            <w:tcW w:w="1373"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kern w:val="0"/>
                <w:sz w:val="20"/>
                <w:szCs w:val="20"/>
              </w:rPr>
              <w:t>72</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破产顾问服务、托管人与接管人服务</w:t>
            </w:r>
          </w:p>
        </w:tc>
      </w:tr>
      <w:tr w:rsidR="002F7E61" w:rsidTr="0020552E">
        <w:tblPrEx>
          <w:tblCellMar>
            <w:top w:w="0" w:type="dxa"/>
            <w:bottom w:w="0" w:type="dxa"/>
          </w:tblCellMar>
        </w:tblPrEx>
        <w:trPr>
          <w:trHeight w:val="270"/>
        </w:trPr>
        <w:tc>
          <w:tcPr>
            <w:tcW w:w="1373"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73</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破产诉讼与赔偿管理咨询</w:t>
            </w:r>
          </w:p>
        </w:tc>
      </w:tr>
      <w:tr w:rsidR="002F7E61" w:rsidTr="0020552E">
        <w:tblPrEx>
          <w:tblCellMar>
            <w:top w:w="0" w:type="dxa"/>
            <w:bottom w:w="0" w:type="dxa"/>
          </w:tblCellMar>
        </w:tblPrEx>
        <w:trPr>
          <w:trHeight w:val="270"/>
        </w:trPr>
        <w:tc>
          <w:tcPr>
            <w:tcW w:w="1373"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top w:val="nil"/>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74</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企业争端分析与调查</w:t>
            </w:r>
          </w:p>
        </w:tc>
      </w:tr>
      <w:tr w:rsidR="002F7E61" w:rsidTr="0020552E">
        <w:tblPrEx>
          <w:tblCellMar>
            <w:top w:w="0" w:type="dxa"/>
            <w:bottom w:w="0" w:type="dxa"/>
          </w:tblCellMar>
        </w:tblPrEx>
        <w:trPr>
          <w:trHeight w:val="480"/>
        </w:trPr>
        <w:tc>
          <w:tcPr>
            <w:tcW w:w="1373"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val="restart"/>
            <w:tcBorders>
              <w:top w:val="nil"/>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r>
              <w:rPr>
                <w:rFonts w:ascii="宋体" w:hAnsi="宋体" w:cs="宋体" w:hint="eastAsia"/>
                <w:color w:val="000000"/>
                <w:kern w:val="0"/>
                <w:sz w:val="20"/>
                <w:szCs w:val="20"/>
              </w:rPr>
              <w:t>为其他领域提供的管理咨询业务</w:t>
            </w: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75</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为农村集体经济组织提供管理咨询</w:t>
            </w:r>
          </w:p>
        </w:tc>
      </w:tr>
      <w:tr w:rsidR="002F7E61" w:rsidTr="0020552E">
        <w:tblPrEx>
          <w:tblCellMar>
            <w:top w:w="0" w:type="dxa"/>
            <w:bottom w:w="0" w:type="dxa"/>
          </w:tblCellMar>
        </w:tblPrEx>
        <w:trPr>
          <w:trHeight w:val="270"/>
        </w:trPr>
        <w:tc>
          <w:tcPr>
            <w:tcW w:w="1373"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76</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工程造价咨询业务</w:t>
            </w:r>
          </w:p>
        </w:tc>
      </w:tr>
      <w:tr w:rsidR="002F7E61" w:rsidTr="0020552E">
        <w:tblPrEx>
          <w:tblCellMar>
            <w:top w:w="0" w:type="dxa"/>
            <w:bottom w:w="0" w:type="dxa"/>
          </w:tblCellMar>
        </w:tblPrEx>
        <w:trPr>
          <w:trHeight w:val="270"/>
        </w:trPr>
        <w:tc>
          <w:tcPr>
            <w:tcW w:w="1373"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nil"/>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77</w:t>
            </w:r>
          </w:p>
        </w:tc>
        <w:tc>
          <w:tcPr>
            <w:tcW w:w="3027" w:type="dxa"/>
            <w:tcBorders>
              <w:top w:val="nil"/>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个人理财服务</w:t>
            </w:r>
          </w:p>
        </w:tc>
      </w:tr>
      <w:tr w:rsidR="002F7E61" w:rsidTr="0020552E">
        <w:tblPrEx>
          <w:tblCellMar>
            <w:top w:w="0" w:type="dxa"/>
            <w:bottom w:w="0" w:type="dxa"/>
          </w:tblCellMar>
        </w:tblPrEx>
        <w:trPr>
          <w:trHeight w:val="270"/>
        </w:trPr>
        <w:tc>
          <w:tcPr>
            <w:tcW w:w="1373" w:type="dxa"/>
            <w:vMerge/>
            <w:tcBorders>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vMerge/>
            <w:tcBorders>
              <w:left w:val="single" w:sz="4" w:space="0" w:color="auto"/>
              <w:bottom w:val="single" w:sz="4" w:space="0" w:color="auto"/>
              <w:right w:val="single" w:sz="4" w:space="0" w:color="auto"/>
            </w:tcBorders>
            <w:vAlign w:val="center"/>
          </w:tcPr>
          <w:p w:rsidR="002F7E61" w:rsidRDefault="002F7E61" w:rsidP="0020552E">
            <w:pPr>
              <w:widowControl/>
              <w:jc w:val="center"/>
              <w:rPr>
                <w:rFonts w:ascii="宋体" w:hAnsi="宋体" w:cs="宋体"/>
                <w:color w:val="000000"/>
                <w:kern w:val="0"/>
                <w:sz w:val="20"/>
                <w:szCs w:val="20"/>
              </w:rPr>
            </w:pPr>
          </w:p>
        </w:tc>
        <w:tc>
          <w:tcPr>
            <w:tcW w:w="1374" w:type="dxa"/>
            <w:tcBorders>
              <w:top w:val="single" w:sz="4" w:space="0" w:color="auto"/>
              <w:left w:val="nil"/>
              <w:bottom w:val="single" w:sz="4" w:space="0" w:color="auto"/>
              <w:right w:val="single" w:sz="4" w:space="0" w:color="auto"/>
            </w:tcBorders>
            <w:vAlign w:val="center"/>
          </w:tcPr>
          <w:p w:rsidR="002F7E61" w:rsidRDefault="002F7E61" w:rsidP="0020552E">
            <w:pPr>
              <w:widowControl/>
              <w:jc w:val="center"/>
              <w:rPr>
                <w:rFonts w:ascii="Times New Roman" w:hAnsi="Times New Roman"/>
                <w:color w:val="000000"/>
                <w:kern w:val="0"/>
                <w:sz w:val="20"/>
                <w:szCs w:val="20"/>
              </w:rPr>
            </w:pPr>
            <w:r>
              <w:rPr>
                <w:rFonts w:ascii="Times New Roman" w:hAnsi="Times New Roman" w:hint="eastAsia"/>
                <w:color w:val="000000"/>
                <w:kern w:val="0"/>
                <w:sz w:val="20"/>
                <w:szCs w:val="20"/>
              </w:rPr>
              <w:t>78</w:t>
            </w:r>
          </w:p>
        </w:tc>
        <w:tc>
          <w:tcPr>
            <w:tcW w:w="3027" w:type="dxa"/>
            <w:tcBorders>
              <w:top w:val="single" w:sz="4" w:space="0" w:color="auto"/>
              <w:left w:val="nil"/>
              <w:bottom w:val="single" w:sz="4" w:space="0" w:color="auto"/>
              <w:right w:val="single" w:sz="4" w:space="0" w:color="auto"/>
            </w:tcBorders>
            <w:vAlign w:val="center"/>
          </w:tcPr>
          <w:p w:rsidR="002F7E61" w:rsidRDefault="002F7E61" w:rsidP="0020552E">
            <w:pPr>
              <w:widowControl/>
              <w:jc w:val="left"/>
              <w:rPr>
                <w:rFonts w:ascii="宋体" w:hAnsi="宋体" w:cs="宋体"/>
                <w:color w:val="000000"/>
                <w:kern w:val="0"/>
                <w:sz w:val="20"/>
                <w:szCs w:val="20"/>
              </w:rPr>
            </w:pPr>
            <w:r>
              <w:rPr>
                <w:rFonts w:ascii="宋体" w:hAnsi="宋体" w:cs="宋体" w:hint="eastAsia"/>
                <w:color w:val="000000"/>
                <w:kern w:val="0"/>
                <w:sz w:val="20"/>
                <w:szCs w:val="20"/>
              </w:rPr>
              <w:t>安全评估</w:t>
            </w:r>
          </w:p>
        </w:tc>
      </w:tr>
    </w:tbl>
    <w:p w:rsidR="002F7E61" w:rsidRDefault="002F7E61" w:rsidP="002F7E61"/>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2F7E61" w:rsidRDefault="002F7E61" w:rsidP="002F7E61">
      <w:pPr>
        <w:ind w:firstLine="405"/>
        <w:rPr>
          <w:rFonts w:hint="eastAsia"/>
        </w:rPr>
      </w:pPr>
    </w:p>
    <w:p w:rsidR="00423EC3" w:rsidRDefault="00423EC3" w:rsidP="002F7E61">
      <w:pPr>
        <w:ind w:firstLine="405"/>
        <w:rPr>
          <w:rFonts w:hint="eastAsia"/>
        </w:rPr>
      </w:pPr>
    </w:p>
    <w:p w:rsidR="00423EC3" w:rsidRDefault="00423EC3" w:rsidP="002F7E61">
      <w:pPr>
        <w:ind w:firstLine="405"/>
        <w:rPr>
          <w:rFonts w:hint="eastAsia"/>
        </w:rPr>
      </w:pPr>
    </w:p>
    <w:p w:rsidR="00423EC3" w:rsidRDefault="00423EC3" w:rsidP="002F7E61">
      <w:pPr>
        <w:ind w:firstLine="405"/>
        <w:rPr>
          <w:rFonts w:hint="eastAsia"/>
        </w:rPr>
      </w:pPr>
    </w:p>
    <w:p w:rsidR="002F7E61" w:rsidRDefault="002F7E61" w:rsidP="002F7E61">
      <w:pPr>
        <w:adjustRightInd w:val="0"/>
        <w:snapToGrid w:val="0"/>
        <w:spacing w:line="360" w:lineRule="auto"/>
        <w:rPr>
          <w:rFonts w:ascii="楷体" w:eastAsia="楷体" w:hAnsi="楷体"/>
          <w:b/>
          <w:sz w:val="32"/>
          <w:szCs w:val="32"/>
        </w:rPr>
      </w:pPr>
      <w:r>
        <w:rPr>
          <w:rFonts w:ascii="楷体" w:eastAsia="楷体" w:hAnsi="楷体" w:hint="eastAsia"/>
          <w:b/>
          <w:sz w:val="32"/>
          <w:szCs w:val="32"/>
        </w:rPr>
        <w:lastRenderedPageBreak/>
        <w:t>附二：资产评估业务类型简述</w:t>
      </w:r>
    </w:p>
    <w:p w:rsidR="002F7E61" w:rsidRDefault="002F7E61" w:rsidP="002F7E61">
      <w:pPr>
        <w:adjustRightInd w:val="0"/>
        <w:snapToGrid w:val="0"/>
        <w:spacing w:line="360" w:lineRule="auto"/>
        <w:ind w:firstLineChars="200" w:firstLine="640"/>
        <w:rPr>
          <w:rFonts w:ascii="仿宋_GB2312" w:eastAsia="仿宋_GB2312" w:hAnsi="楷体"/>
          <w:sz w:val="32"/>
          <w:szCs w:val="32"/>
        </w:rPr>
      </w:pPr>
      <w:r>
        <w:rPr>
          <w:rFonts w:ascii="仿宋_GB2312" w:eastAsia="仿宋_GB2312" w:hAnsi="楷体" w:hint="eastAsia"/>
          <w:sz w:val="32"/>
          <w:szCs w:val="32"/>
        </w:rPr>
        <w:t>一、单项资产评估业务</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t>单项资产评估业务，按照经济行为分为：</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1.资产转让；</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2.资产拍卖；</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3.资产偿债；</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4.资产租赁；</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5.资产抵押/质押；</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6.资产重组；</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7.资产捐赠；</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8.资产补偿；</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9.资产涉讼；</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10.认定报关价格；</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11.对外投资；</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12.接受投资；</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t>13.接受抵债资产；</w:t>
      </w:r>
    </w:p>
    <w:p w:rsidR="002F7E61" w:rsidRDefault="002F7E61" w:rsidP="002F7E61">
      <w:pPr>
        <w:adjustRightInd w:val="0"/>
        <w:snapToGrid w:val="0"/>
        <w:spacing w:line="360" w:lineRule="auto"/>
        <w:ind w:firstLineChars="189" w:firstLine="605"/>
        <w:rPr>
          <w:rFonts w:ascii="仿宋_GB2312" w:eastAsia="仿宋_GB2312" w:hAnsi="楷体"/>
          <w:sz w:val="32"/>
          <w:szCs w:val="32"/>
        </w:rPr>
      </w:pPr>
      <w:r>
        <w:rPr>
          <w:rFonts w:ascii="仿宋_GB2312" w:eastAsia="仿宋_GB2312" w:hAnsi="楷体" w:hint="eastAsia"/>
          <w:sz w:val="32"/>
          <w:szCs w:val="32"/>
        </w:rPr>
        <w:lastRenderedPageBreak/>
        <w:t>14.债务重组及其他。</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（二）业务依据</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1.《企业国有资产评估管理暂行办法》（国务院国资委令第12号）；</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2.《金融企业国有资产评估监督管理暂行办法》（财政部令第47号）；</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3.《行政单位国有资产管理暂行办法》（财政部令第35号）；</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4.《事业单位国有资产管理暂行办法》（财政部令第36号）；</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5.《中央级事业单位国有资产管理暂行办法》（</w:t>
      </w:r>
      <w:proofErr w:type="gramStart"/>
      <w:r>
        <w:rPr>
          <w:rFonts w:ascii="仿宋_GB2312" w:eastAsia="仿宋_GB2312" w:hAnsi="华文中宋" w:hint="eastAsia"/>
          <w:sz w:val="32"/>
          <w:szCs w:val="32"/>
        </w:rPr>
        <w:t>财教</w:t>
      </w:r>
      <w:proofErr w:type="gramEnd"/>
      <w:r>
        <w:rPr>
          <w:rFonts w:ascii="仿宋_GB2312" w:eastAsia="仿宋_GB2312" w:hAnsi="华文中宋" w:hint="eastAsia"/>
          <w:sz w:val="32"/>
          <w:szCs w:val="32"/>
        </w:rPr>
        <w:t>[2008]13号）；</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6.《中央级事业单位国有资产使用管理暂行办法》（</w:t>
      </w:r>
      <w:proofErr w:type="gramStart"/>
      <w:r>
        <w:rPr>
          <w:rFonts w:ascii="仿宋_GB2312" w:eastAsia="仿宋_GB2312" w:hAnsi="华文中宋" w:hint="eastAsia"/>
          <w:sz w:val="32"/>
          <w:szCs w:val="32"/>
        </w:rPr>
        <w:t>财教</w:t>
      </w:r>
      <w:proofErr w:type="gramEnd"/>
      <w:r>
        <w:rPr>
          <w:rFonts w:ascii="仿宋_GB2312" w:eastAsia="仿宋_GB2312" w:hAnsi="华文中宋" w:hint="eastAsia"/>
          <w:sz w:val="32"/>
          <w:szCs w:val="32"/>
        </w:rPr>
        <w:t>[2009]192号）;</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7.《中央文化企业国有资产评估管理暂行办法》（</w:t>
      </w:r>
      <w:proofErr w:type="gramStart"/>
      <w:r>
        <w:rPr>
          <w:rFonts w:ascii="仿宋_GB2312" w:eastAsia="仿宋_GB2312" w:hAnsi="华文中宋" w:hint="eastAsia"/>
          <w:sz w:val="32"/>
          <w:szCs w:val="32"/>
        </w:rPr>
        <w:t>财文资</w:t>
      </w:r>
      <w:proofErr w:type="gramEnd"/>
      <w:r>
        <w:rPr>
          <w:rFonts w:ascii="仿宋_GB2312" w:eastAsia="仿宋_GB2312" w:hAnsi="华文中宋" w:hint="eastAsia"/>
          <w:sz w:val="32"/>
          <w:szCs w:val="32"/>
        </w:rPr>
        <w:t>[2012]15号）；</w:t>
      </w:r>
    </w:p>
    <w:p w:rsidR="002F7E61" w:rsidRDefault="002F7E61" w:rsidP="002F7E61">
      <w:pPr>
        <w:adjustRightInd w:val="0"/>
        <w:snapToGrid w:val="0"/>
        <w:spacing w:line="360" w:lineRule="auto"/>
        <w:ind w:firstLineChars="202" w:firstLine="646"/>
        <w:rPr>
          <w:rFonts w:ascii="仿宋_GB2312" w:eastAsia="仿宋_GB2312" w:hAnsi="华文中宋"/>
          <w:sz w:val="32"/>
          <w:szCs w:val="32"/>
        </w:rPr>
      </w:pPr>
      <w:r>
        <w:rPr>
          <w:rFonts w:ascii="仿宋_GB2312" w:eastAsia="仿宋_GB2312" w:hAnsi="华文中宋" w:hint="eastAsia"/>
          <w:sz w:val="32"/>
          <w:szCs w:val="32"/>
        </w:rPr>
        <w:t>8.其他有关文件。</w:t>
      </w:r>
    </w:p>
    <w:p w:rsidR="002F7E61" w:rsidRDefault="002F7E61" w:rsidP="002F7E61">
      <w:pPr>
        <w:adjustRightInd w:val="0"/>
        <w:snapToGrid w:val="0"/>
        <w:spacing w:line="360" w:lineRule="auto"/>
        <w:ind w:firstLineChars="202" w:firstLine="646"/>
        <w:outlineLvl w:val="0"/>
        <w:rPr>
          <w:rFonts w:ascii="仿宋_GB2312" w:eastAsia="仿宋_GB2312" w:hAnsi="楷体"/>
          <w:sz w:val="32"/>
          <w:szCs w:val="32"/>
        </w:rPr>
      </w:pPr>
      <w:r>
        <w:rPr>
          <w:rFonts w:ascii="楷体" w:eastAsia="楷体" w:hAnsi="楷体" w:hint="eastAsia"/>
          <w:sz w:val="32"/>
          <w:szCs w:val="32"/>
        </w:rPr>
        <w:lastRenderedPageBreak/>
        <w:t>（</w:t>
      </w:r>
      <w:r>
        <w:rPr>
          <w:rFonts w:ascii="仿宋_GB2312" w:eastAsia="仿宋_GB2312" w:hAnsi="楷体" w:hint="eastAsia"/>
          <w:sz w:val="32"/>
          <w:szCs w:val="32"/>
        </w:rPr>
        <w:t>三）专业胜任能力要求</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熟悉资产转让、置换、拍卖、偿债、租赁的业务流程和控制要点；熟悉与资产转让、置换、拍卖、偿债、租赁相关的法律、法规和政策规定；熟练操作资产评估业务。</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二、公司制改建整体资产评估业务</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公司制改建。</w:t>
      </w:r>
    </w:p>
    <w:p w:rsidR="002F7E61" w:rsidRDefault="002F7E61" w:rsidP="002F7E61">
      <w:pPr>
        <w:adjustRightInd w:val="0"/>
        <w:snapToGrid w:val="0"/>
        <w:spacing w:line="360" w:lineRule="auto"/>
        <w:ind w:firstLineChars="150" w:firstLine="48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adjustRightInd w:val="0"/>
        <w:snapToGrid w:val="0"/>
        <w:spacing w:line="360" w:lineRule="auto"/>
        <w:ind w:firstLineChars="189" w:firstLine="605"/>
        <w:rPr>
          <w:rFonts w:ascii="楷体" w:eastAsia="楷体" w:hAnsi="楷体"/>
          <w:sz w:val="32"/>
          <w:szCs w:val="32"/>
        </w:rPr>
      </w:pPr>
      <w:r>
        <w:rPr>
          <w:rFonts w:ascii="仿宋_GB2312" w:eastAsia="仿宋_GB2312" w:hAnsi="楷体"/>
          <w:sz w:val="32"/>
          <w:szCs w:val="32"/>
        </w:rPr>
        <w:fldChar w:fldCharType="begin"/>
      </w:r>
      <w:r>
        <w:rPr>
          <w:rFonts w:ascii="仿宋_GB2312" w:eastAsia="仿宋_GB2312" w:hAnsi="楷体" w:hint="eastAsia"/>
          <w:sz w:val="32"/>
          <w:szCs w:val="32"/>
        </w:rPr>
        <w:instrText>= 1 \* GB3</w:instrText>
      </w:r>
      <w:r>
        <w:rPr>
          <w:rFonts w:ascii="仿宋_GB2312" w:eastAsia="仿宋_GB2312" w:hAnsi="楷体"/>
          <w:sz w:val="32"/>
          <w:szCs w:val="32"/>
        </w:rPr>
        <w:fldChar w:fldCharType="separate"/>
      </w:r>
      <w:r>
        <w:rPr>
          <w:rFonts w:ascii="仿宋_GB2312" w:eastAsia="仿宋_GB2312" w:hAnsi="楷体" w:hint="eastAsia"/>
          <w:sz w:val="32"/>
          <w:szCs w:val="32"/>
        </w:rPr>
        <w:t>1.</w:t>
      </w:r>
      <w:r>
        <w:rPr>
          <w:rFonts w:ascii="仿宋_GB2312" w:eastAsia="仿宋_GB2312" w:hAnsi="楷体"/>
          <w:sz w:val="32"/>
          <w:szCs w:val="32"/>
        </w:rPr>
        <w:fldChar w:fldCharType="end"/>
      </w:r>
      <w:r>
        <w:rPr>
          <w:rFonts w:ascii="仿宋_GB2312" w:eastAsia="仿宋_GB2312" w:hAnsi="楷体" w:hint="eastAsia"/>
          <w:sz w:val="32"/>
          <w:szCs w:val="32"/>
        </w:rPr>
        <w:t>《企业国有资产评估管理暂行办法》（国务院国资委令第12号）；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《金融企业国有资产评估监督管理暂行办法》（财政部令第47号）；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《行政单位国有资产管理暂行办法》（财政部令第35号）；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《事业单位国有资产管理暂行办法》（财政部令第36号）；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5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5.</w:t>
      </w:r>
      <w:r>
        <w:rPr>
          <w:rFonts w:ascii="仿宋_GB2312" w:eastAsia="仿宋_GB2312" w:hAnsi="楷体" w:hint="eastAsia"/>
          <w:sz w:val="32"/>
          <w:szCs w:val="32"/>
        </w:rPr>
        <w:fldChar w:fldCharType="end"/>
      </w:r>
      <w:r>
        <w:rPr>
          <w:rFonts w:ascii="仿宋_GB2312" w:eastAsia="仿宋_GB2312" w:hAnsi="楷体" w:hint="eastAsia"/>
          <w:sz w:val="32"/>
          <w:szCs w:val="32"/>
        </w:rPr>
        <w:t>《中央级事业单位国有资产管理暂行办法》（</w:t>
      </w:r>
      <w:proofErr w:type="gramStart"/>
      <w:r>
        <w:rPr>
          <w:rFonts w:ascii="仿宋_GB2312" w:eastAsia="仿宋_GB2312" w:hAnsi="楷体" w:hint="eastAsia"/>
          <w:sz w:val="32"/>
          <w:szCs w:val="32"/>
        </w:rPr>
        <w:t>财教</w:t>
      </w:r>
      <w:proofErr w:type="gramEnd"/>
      <w:r>
        <w:rPr>
          <w:rFonts w:ascii="仿宋_GB2312" w:eastAsia="仿宋_GB2312" w:hAnsi="楷体" w:hint="eastAsia"/>
          <w:sz w:val="32"/>
          <w:szCs w:val="32"/>
        </w:rPr>
        <w:lastRenderedPageBreak/>
        <w:t>[2008]13号）；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6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6.</w:t>
      </w:r>
      <w:r>
        <w:rPr>
          <w:rFonts w:ascii="仿宋_GB2312" w:eastAsia="仿宋_GB2312" w:hAnsi="楷体" w:hint="eastAsia"/>
          <w:sz w:val="32"/>
          <w:szCs w:val="32"/>
        </w:rPr>
        <w:fldChar w:fldCharType="end"/>
      </w:r>
      <w:r>
        <w:rPr>
          <w:rFonts w:ascii="仿宋_GB2312" w:eastAsia="仿宋_GB2312" w:hAnsi="楷体" w:hint="eastAsia"/>
          <w:sz w:val="32"/>
          <w:szCs w:val="32"/>
        </w:rPr>
        <w:t>《中央级事业单位国有资产使用管理暂行办法》（</w:t>
      </w:r>
      <w:proofErr w:type="gramStart"/>
      <w:r>
        <w:rPr>
          <w:rFonts w:ascii="仿宋_GB2312" w:eastAsia="仿宋_GB2312" w:hAnsi="楷体" w:hint="eastAsia"/>
          <w:sz w:val="32"/>
          <w:szCs w:val="32"/>
        </w:rPr>
        <w:t>财教</w:t>
      </w:r>
      <w:proofErr w:type="gramEnd"/>
      <w:r>
        <w:rPr>
          <w:rFonts w:ascii="仿宋_GB2312" w:eastAsia="仿宋_GB2312" w:hAnsi="楷体" w:hint="eastAsia"/>
          <w:sz w:val="32"/>
          <w:szCs w:val="32"/>
        </w:rPr>
        <w:t>[2009]192号）；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7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7.</w:t>
      </w:r>
      <w:r>
        <w:rPr>
          <w:rFonts w:ascii="仿宋_GB2312" w:eastAsia="仿宋_GB2312" w:hAnsi="楷体" w:hint="eastAsia"/>
          <w:sz w:val="32"/>
          <w:szCs w:val="32"/>
        </w:rPr>
        <w:fldChar w:fldCharType="end"/>
      </w:r>
      <w:r>
        <w:rPr>
          <w:rFonts w:ascii="仿宋_GB2312" w:eastAsia="仿宋_GB2312" w:hAnsi="楷体" w:hint="eastAsia"/>
          <w:sz w:val="32"/>
          <w:szCs w:val="32"/>
        </w:rPr>
        <w:t>《中央文化企业国有资产评估管理暂行办法》（</w:t>
      </w:r>
      <w:proofErr w:type="gramStart"/>
      <w:r>
        <w:rPr>
          <w:rFonts w:ascii="仿宋_GB2312" w:eastAsia="仿宋_GB2312" w:hAnsi="楷体" w:hint="eastAsia"/>
          <w:sz w:val="32"/>
          <w:szCs w:val="32"/>
        </w:rPr>
        <w:t>财文资</w:t>
      </w:r>
      <w:proofErr w:type="gramEnd"/>
      <w:r>
        <w:rPr>
          <w:rFonts w:ascii="仿宋_GB2312" w:eastAsia="仿宋_GB2312" w:hAnsi="楷体" w:hint="eastAsia"/>
          <w:sz w:val="32"/>
          <w:szCs w:val="32"/>
        </w:rPr>
        <w:t>[2012]15号）；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8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8.</w:t>
      </w:r>
      <w:r>
        <w:rPr>
          <w:rFonts w:ascii="仿宋_GB2312" w:eastAsia="仿宋_GB2312" w:hAnsi="楷体" w:hint="eastAsia"/>
          <w:sz w:val="32"/>
          <w:szCs w:val="32"/>
        </w:rPr>
        <w:fldChar w:fldCharType="end"/>
      </w:r>
      <w:r>
        <w:rPr>
          <w:rFonts w:ascii="仿宋_GB2312" w:eastAsia="仿宋_GB2312" w:hAnsi="楷体" w:hint="eastAsia"/>
          <w:sz w:val="32"/>
          <w:szCs w:val="32"/>
        </w:rPr>
        <w:t>《公司注册资本登记管理规定》（国家工商总局令第22号)；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9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9.</w:t>
      </w:r>
      <w:r>
        <w:rPr>
          <w:rFonts w:ascii="仿宋_GB2312" w:eastAsia="仿宋_GB2312" w:hAnsi="楷体" w:hint="eastAsia"/>
          <w:sz w:val="32"/>
          <w:szCs w:val="32"/>
        </w:rPr>
        <w:fldChar w:fldCharType="end"/>
      </w:r>
      <w:r>
        <w:rPr>
          <w:rFonts w:ascii="仿宋_GB2312" w:eastAsia="仿宋_GB2312" w:hAnsi="楷体" w:hint="eastAsia"/>
          <w:sz w:val="32"/>
          <w:szCs w:val="32"/>
        </w:rPr>
        <w:t>《股权出资登记管理办法》（国家工商总局令第39号）；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10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10.</w:t>
      </w:r>
      <w:r>
        <w:rPr>
          <w:rFonts w:ascii="仿宋_GB2312" w:eastAsia="仿宋_GB2312" w:hAnsi="楷体" w:hint="eastAsia"/>
          <w:sz w:val="32"/>
          <w:szCs w:val="32"/>
        </w:rPr>
        <w:fldChar w:fldCharType="end"/>
      </w:r>
      <w:r>
        <w:rPr>
          <w:rFonts w:ascii="仿宋_GB2312" w:eastAsia="仿宋_GB2312" w:hAnsi="楷体" w:hint="eastAsia"/>
          <w:sz w:val="32"/>
          <w:szCs w:val="32"/>
        </w:rPr>
        <w:t>《公司债权转股权登记管理办法》（国家工商总局令第57号）；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11.《涉及外商投资企业股权出资的暂行规定》（商务部令第8号）；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12.《国务院办公厅转发国务院国有资产监督管理委员会关于规范国有企业改制工作意见的通知》（国办发[2003]96号）；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13.《国务院办公厅转发国资委关于进一步规范国有企业改制工作实施意见的通知》（国办发[2005]60号）；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lastRenderedPageBreak/>
        <w:t>14.其他有关文件。</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熟悉公司制改建的业务流程和控制要点；熟悉与公司制改建相关的法律、法规和政策规定；熟练操作资产评估业务。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三、企业并购评估业务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1.企业合并；</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2.企业分立；</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3.企业破产；</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4.企业清算；</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5.企业解散。</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《企业国有资产评估管理暂行办法》（国务院国资委令第12号）；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《金融企业国有资产评估监督管理暂行办法》（财政部令第47号）；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《行政单位国有资产管理暂行办法》（财政部令第35号）；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《事业单位国有资产管理暂行办法》（财政部令第36</w:t>
      </w:r>
      <w:r>
        <w:rPr>
          <w:rFonts w:ascii="仿宋_GB2312" w:eastAsia="仿宋_GB2312" w:hAnsi="楷体" w:hint="eastAsia"/>
          <w:sz w:val="32"/>
          <w:szCs w:val="32"/>
        </w:rPr>
        <w:lastRenderedPageBreak/>
        <w:t>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5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5.</w:t>
      </w:r>
      <w:r>
        <w:rPr>
          <w:rFonts w:ascii="仿宋_GB2312" w:eastAsia="仿宋_GB2312" w:hAnsi="楷体" w:hint="eastAsia"/>
          <w:sz w:val="32"/>
          <w:szCs w:val="32"/>
        </w:rPr>
        <w:fldChar w:fldCharType="end"/>
      </w:r>
      <w:r>
        <w:rPr>
          <w:rFonts w:ascii="仿宋_GB2312" w:eastAsia="仿宋_GB2312" w:hAnsi="楷体" w:hint="eastAsia"/>
          <w:sz w:val="32"/>
          <w:szCs w:val="32"/>
        </w:rPr>
        <w:t>《中央级事业单位国有资产管理暂行办法》（</w:t>
      </w:r>
      <w:proofErr w:type="gramStart"/>
      <w:r>
        <w:rPr>
          <w:rFonts w:ascii="仿宋_GB2312" w:eastAsia="仿宋_GB2312" w:hAnsi="楷体" w:hint="eastAsia"/>
          <w:sz w:val="32"/>
          <w:szCs w:val="32"/>
        </w:rPr>
        <w:t>财教</w:t>
      </w:r>
      <w:proofErr w:type="gramEnd"/>
      <w:r>
        <w:rPr>
          <w:rFonts w:ascii="仿宋_GB2312" w:eastAsia="仿宋_GB2312" w:hAnsi="楷体" w:hint="eastAsia"/>
          <w:sz w:val="32"/>
          <w:szCs w:val="32"/>
        </w:rPr>
        <w:t>[2008]13号）；</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6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6.</w:t>
      </w:r>
      <w:r>
        <w:rPr>
          <w:rFonts w:ascii="仿宋_GB2312" w:eastAsia="仿宋_GB2312" w:hAnsi="楷体" w:hint="eastAsia"/>
          <w:sz w:val="32"/>
          <w:szCs w:val="32"/>
        </w:rPr>
        <w:fldChar w:fldCharType="end"/>
      </w:r>
      <w:r>
        <w:rPr>
          <w:rFonts w:ascii="仿宋_GB2312" w:eastAsia="仿宋_GB2312" w:hAnsi="楷体" w:hint="eastAsia"/>
          <w:sz w:val="32"/>
          <w:szCs w:val="32"/>
        </w:rPr>
        <w:t>《中央级事业单位国有资产使用管理暂行办法》（</w:t>
      </w:r>
      <w:proofErr w:type="gramStart"/>
      <w:r>
        <w:rPr>
          <w:rFonts w:ascii="仿宋_GB2312" w:eastAsia="仿宋_GB2312" w:hAnsi="楷体" w:hint="eastAsia"/>
          <w:sz w:val="32"/>
          <w:szCs w:val="32"/>
        </w:rPr>
        <w:t>财教</w:t>
      </w:r>
      <w:proofErr w:type="gramEnd"/>
      <w:r>
        <w:rPr>
          <w:rFonts w:ascii="仿宋_GB2312" w:eastAsia="仿宋_GB2312" w:hAnsi="楷体" w:hint="eastAsia"/>
          <w:sz w:val="32"/>
          <w:szCs w:val="32"/>
        </w:rPr>
        <w:t>[2009]192号）；</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7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7.</w:t>
      </w:r>
      <w:r>
        <w:rPr>
          <w:rFonts w:ascii="仿宋_GB2312" w:eastAsia="仿宋_GB2312" w:hAnsi="楷体" w:hint="eastAsia"/>
          <w:sz w:val="32"/>
          <w:szCs w:val="32"/>
        </w:rPr>
        <w:fldChar w:fldCharType="end"/>
      </w:r>
      <w:r>
        <w:rPr>
          <w:rFonts w:ascii="仿宋_GB2312" w:eastAsia="仿宋_GB2312" w:hAnsi="楷体" w:hint="eastAsia"/>
          <w:sz w:val="32"/>
          <w:szCs w:val="32"/>
        </w:rPr>
        <w:t>《中央文化企业国有资产评估管理暂行办法》（</w:t>
      </w:r>
      <w:proofErr w:type="gramStart"/>
      <w:r>
        <w:rPr>
          <w:rFonts w:ascii="仿宋_GB2312" w:eastAsia="仿宋_GB2312" w:hAnsi="楷体" w:hint="eastAsia"/>
          <w:sz w:val="32"/>
          <w:szCs w:val="32"/>
        </w:rPr>
        <w:t>财文资</w:t>
      </w:r>
      <w:proofErr w:type="gramEnd"/>
      <w:r>
        <w:rPr>
          <w:rFonts w:ascii="仿宋_GB2312" w:eastAsia="仿宋_GB2312" w:hAnsi="楷体" w:hint="eastAsia"/>
          <w:sz w:val="32"/>
          <w:szCs w:val="32"/>
        </w:rPr>
        <w:t>[2012]15号）；</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t>8.</w:t>
      </w:r>
      <w:r>
        <w:rPr>
          <w:rFonts w:ascii="仿宋_GB2312" w:eastAsia="仿宋_GB2312" w:hAnsi="华文中宋" w:hint="eastAsia"/>
          <w:sz w:val="32"/>
          <w:szCs w:val="32"/>
        </w:rPr>
        <w:t>其他有关文件。</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adjustRightInd w:val="0"/>
        <w:snapToGrid w:val="0"/>
        <w:spacing w:line="360" w:lineRule="auto"/>
        <w:ind w:firstLineChars="200" w:firstLine="640"/>
        <w:rPr>
          <w:rFonts w:ascii="仿宋_GB2312" w:eastAsia="仿宋_GB2312" w:hAnsi="楷体"/>
          <w:sz w:val="32"/>
          <w:szCs w:val="32"/>
        </w:rPr>
      </w:pPr>
      <w:r>
        <w:rPr>
          <w:rFonts w:ascii="仿宋_GB2312" w:eastAsia="仿宋_GB2312" w:hAnsi="楷体" w:hint="eastAsia"/>
          <w:sz w:val="32"/>
          <w:szCs w:val="32"/>
        </w:rPr>
        <w:t>熟悉企业合并、分立、破产、清算、解散的业务流程和控制要点；熟悉与企业并购相关的法律、法规和政策规定；熟练操作资产评估业务。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四、产权变动评估业务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1.增资扩股；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2.IPO评估；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3.股权转让；</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4.债转股。</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lastRenderedPageBreak/>
        <w:t>（二）业务依据</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《企业国有资产评估管理暂行办法》（国务院国资委令第12号）；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《金融企业国有资产评估监督管理暂行办法》（财政部令第47号）；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《行政单位国有资产管理暂行办法》（财政部令第35号）；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《事业单位国有资产管理暂行办法》（财政部令第36号）；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5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5.</w:t>
      </w:r>
      <w:r>
        <w:rPr>
          <w:rFonts w:ascii="仿宋_GB2312" w:eastAsia="仿宋_GB2312" w:hAnsi="楷体" w:hint="eastAsia"/>
          <w:sz w:val="32"/>
          <w:szCs w:val="32"/>
        </w:rPr>
        <w:fldChar w:fldCharType="end"/>
      </w:r>
      <w:r>
        <w:rPr>
          <w:rFonts w:ascii="仿宋_GB2312" w:eastAsia="仿宋_GB2312" w:hAnsi="楷体" w:hint="eastAsia"/>
          <w:sz w:val="32"/>
          <w:szCs w:val="32"/>
        </w:rPr>
        <w:t>《中央级事业单位国有资产管理暂行办法》（</w:t>
      </w:r>
      <w:proofErr w:type="gramStart"/>
      <w:r>
        <w:rPr>
          <w:rFonts w:ascii="仿宋_GB2312" w:eastAsia="仿宋_GB2312" w:hAnsi="楷体" w:hint="eastAsia"/>
          <w:sz w:val="32"/>
          <w:szCs w:val="32"/>
        </w:rPr>
        <w:t>财教</w:t>
      </w:r>
      <w:proofErr w:type="gramEnd"/>
      <w:r>
        <w:rPr>
          <w:rFonts w:ascii="仿宋_GB2312" w:eastAsia="仿宋_GB2312" w:hAnsi="楷体" w:hint="eastAsia"/>
          <w:sz w:val="32"/>
          <w:szCs w:val="32"/>
        </w:rPr>
        <w:t>[2008]13号）；</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6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6.</w:t>
      </w:r>
      <w:r>
        <w:rPr>
          <w:rFonts w:ascii="仿宋_GB2312" w:eastAsia="仿宋_GB2312" w:hAnsi="楷体" w:hint="eastAsia"/>
          <w:sz w:val="32"/>
          <w:szCs w:val="32"/>
        </w:rPr>
        <w:fldChar w:fldCharType="end"/>
      </w:r>
      <w:r>
        <w:rPr>
          <w:rFonts w:ascii="仿宋_GB2312" w:eastAsia="仿宋_GB2312" w:hAnsi="楷体" w:hint="eastAsia"/>
          <w:sz w:val="32"/>
          <w:szCs w:val="32"/>
        </w:rPr>
        <w:t>《中央级事业单位国有资产使用管理暂行办法》（</w:t>
      </w:r>
      <w:proofErr w:type="gramStart"/>
      <w:r>
        <w:rPr>
          <w:rFonts w:ascii="仿宋_GB2312" w:eastAsia="仿宋_GB2312" w:hAnsi="楷体" w:hint="eastAsia"/>
          <w:sz w:val="32"/>
          <w:szCs w:val="32"/>
        </w:rPr>
        <w:t>财教</w:t>
      </w:r>
      <w:proofErr w:type="gramEnd"/>
      <w:r>
        <w:rPr>
          <w:rFonts w:ascii="仿宋_GB2312" w:eastAsia="仿宋_GB2312" w:hAnsi="楷体" w:hint="eastAsia"/>
          <w:sz w:val="32"/>
          <w:szCs w:val="32"/>
        </w:rPr>
        <w:t>[2009]192号）；</w:t>
      </w:r>
    </w:p>
    <w:p w:rsidR="002F7E61" w:rsidRDefault="002F7E61" w:rsidP="002F7E61">
      <w:pPr>
        <w:pStyle w:val="ListParagraph"/>
        <w:adjustRightInd w:val="0"/>
        <w:snapToGrid w:val="0"/>
        <w:spacing w:line="360" w:lineRule="auto"/>
        <w:ind w:firstLine="640"/>
        <w:rPr>
          <w:rFonts w:ascii="仿宋_GB2312" w:eastAsia="仿宋_GB2312" w:hAnsi="华文楷体"/>
          <w:sz w:val="32"/>
          <w:szCs w:val="32"/>
        </w:rPr>
      </w:pPr>
      <w:r>
        <w:rPr>
          <w:rFonts w:ascii="仿宋_GB2312" w:eastAsia="仿宋_GB2312" w:hAnsi="华文楷体" w:hint="eastAsia"/>
          <w:sz w:val="32"/>
          <w:szCs w:val="32"/>
        </w:rPr>
        <w:fldChar w:fldCharType="begin"/>
      </w:r>
      <w:r>
        <w:rPr>
          <w:rFonts w:ascii="仿宋_GB2312" w:eastAsia="仿宋_GB2312" w:hAnsi="华文楷体" w:hint="eastAsia"/>
          <w:sz w:val="32"/>
          <w:szCs w:val="32"/>
        </w:rPr>
        <w:instrText xml:space="preserve"> = 7 \* GB3 </w:instrText>
      </w:r>
      <w:r>
        <w:rPr>
          <w:rFonts w:ascii="仿宋_GB2312" w:eastAsia="仿宋_GB2312" w:hAnsi="华文楷体" w:hint="eastAsia"/>
          <w:sz w:val="32"/>
          <w:szCs w:val="32"/>
        </w:rPr>
        <w:fldChar w:fldCharType="separate"/>
      </w:r>
      <w:r>
        <w:rPr>
          <w:rFonts w:ascii="仿宋_GB2312" w:eastAsia="仿宋_GB2312" w:hAnsi="华文楷体" w:hint="eastAsia"/>
          <w:sz w:val="32"/>
          <w:szCs w:val="32"/>
        </w:rPr>
        <w:t>7.</w:t>
      </w:r>
      <w:r>
        <w:rPr>
          <w:rFonts w:ascii="仿宋_GB2312" w:eastAsia="仿宋_GB2312" w:hAnsi="华文楷体" w:hint="eastAsia"/>
          <w:sz w:val="32"/>
          <w:szCs w:val="32"/>
        </w:rPr>
        <w:fldChar w:fldCharType="end"/>
      </w:r>
      <w:r>
        <w:rPr>
          <w:rFonts w:ascii="仿宋_GB2312" w:eastAsia="仿宋_GB2312" w:hAnsi="华文楷体" w:hint="eastAsia"/>
          <w:sz w:val="32"/>
          <w:szCs w:val="32"/>
        </w:rPr>
        <w:t>《企业国有产权转让管理暂行办法》（国务院国资委、财政部令第3号）；</w:t>
      </w:r>
    </w:p>
    <w:p w:rsidR="002F7E61" w:rsidRDefault="002F7E61" w:rsidP="002F7E61">
      <w:pPr>
        <w:pStyle w:val="ListParagraph"/>
        <w:adjustRightInd w:val="0"/>
        <w:snapToGrid w:val="0"/>
        <w:spacing w:line="360" w:lineRule="auto"/>
        <w:ind w:firstLine="640"/>
        <w:rPr>
          <w:rFonts w:ascii="仿宋_GB2312" w:eastAsia="仿宋_GB2312" w:hAnsi="华文楷体"/>
          <w:sz w:val="32"/>
          <w:szCs w:val="32"/>
        </w:rPr>
      </w:pPr>
      <w:r>
        <w:rPr>
          <w:rFonts w:ascii="仿宋_GB2312" w:eastAsia="仿宋_GB2312" w:hAnsi="华文楷体" w:hint="eastAsia"/>
          <w:sz w:val="32"/>
          <w:szCs w:val="32"/>
        </w:rPr>
        <w:fldChar w:fldCharType="begin"/>
      </w:r>
      <w:r>
        <w:rPr>
          <w:rFonts w:ascii="仿宋_GB2312" w:eastAsia="仿宋_GB2312" w:hAnsi="华文楷体" w:hint="eastAsia"/>
          <w:sz w:val="32"/>
          <w:szCs w:val="32"/>
        </w:rPr>
        <w:instrText xml:space="preserve"> = 8 \* GB3 </w:instrText>
      </w:r>
      <w:r>
        <w:rPr>
          <w:rFonts w:ascii="仿宋_GB2312" w:eastAsia="仿宋_GB2312" w:hAnsi="华文楷体" w:hint="eastAsia"/>
          <w:sz w:val="32"/>
          <w:szCs w:val="32"/>
        </w:rPr>
        <w:fldChar w:fldCharType="separate"/>
      </w:r>
      <w:r>
        <w:rPr>
          <w:rFonts w:ascii="仿宋_GB2312" w:eastAsia="仿宋_GB2312" w:hAnsi="华文楷体" w:hint="eastAsia"/>
          <w:sz w:val="32"/>
          <w:szCs w:val="32"/>
        </w:rPr>
        <w:t>8.</w:t>
      </w:r>
      <w:r>
        <w:rPr>
          <w:rFonts w:ascii="仿宋_GB2312" w:eastAsia="仿宋_GB2312" w:hAnsi="华文楷体" w:hint="eastAsia"/>
          <w:sz w:val="32"/>
          <w:szCs w:val="32"/>
        </w:rPr>
        <w:fldChar w:fldCharType="end"/>
      </w:r>
      <w:r>
        <w:rPr>
          <w:rFonts w:ascii="仿宋_GB2312" w:eastAsia="仿宋_GB2312" w:hAnsi="华文楷体" w:hint="eastAsia"/>
          <w:sz w:val="32"/>
          <w:szCs w:val="32"/>
        </w:rPr>
        <w:t>《关于企业国有产权转让有关事项的通知》（</w:t>
      </w:r>
      <w:proofErr w:type="gramStart"/>
      <w:r>
        <w:rPr>
          <w:rFonts w:ascii="仿宋_GB2312" w:eastAsia="仿宋_GB2312" w:hAnsi="华文楷体" w:hint="eastAsia"/>
          <w:sz w:val="32"/>
          <w:szCs w:val="32"/>
        </w:rPr>
        <w:t>国资发产权</w:t>
      </w:r>
      <w:proofErr w:type="gramEnd"/>
      <w:r>
        <w:rPr>
          <w:rFonts w:ascii="仿宋_GB2312" w:eastAsia="仿宋_GB2312" w:hAnsi="华文楷体" w:hint="eastAsia"/>
          <w:sz w:val="32"/>
          <w:szCs w:val="32"/>
        </w:rPr>
        <w:t>[2006]306号)；</w:t>
      </w:r>
    </w:p>
    <w:p w:rsidR="002F7E61" w:rsidRDefault="002F7E61" w:rsidP="002F7E61">
      <w:pPr>
        <w:pStyle w:val="ListParagraph"/>
        <w:adjustRightInd w:val="0"/>
        <w:snapToGrid w:val="0"/>
        <w:spacing w:line="360" w:lineRule="auto"/>
        <w:ind w:firstLine="640"/>
        <w:rPr>
          <w:rFonts w:ascii="仿宋_GB2312" w:eastAsia="仿宋_GB2312" w:hAnsi="华文楷体"/>
          <w:sz w:val="32"/>
          <w:szCs w:val="32"/>
        </w:rPr>
      </w:pPr>
      <w:r>
        <w:rPr>
          <w:rFonts w:ascii="仿宋_GB2312" w:eastAsia="仿宋_GB2312" w:hAnsi="华文楷体" w:hint="eastAsia"/>
          <w:sz w:val="32"/>
          <w:szCs w:val="32"/>
        </w:rPr>
        <w:lastRenderedPageBreak/>
        <w:fldChar w:fldCharType="begin"/>
      </w:r>
      <w:r>
        <w:rPr>
          <w:rFonts w:ascii="仿宋_GB2312" w:eastAsia="仿宋_GB2312" w:hAnsi="华文楷体" w:hint="eastAsia"/>
          <w:sz w:val="32"/>
          <w:szCs w:val="32"/>
        </w:rPr>
        <w:instrText xml:space="preserve"> = 9 \* GB3 </w:instrText>
      </w:r>
      <w:r>
        <w:rPr>
          <w:rFonts w:ascii="仿宋_GB2312" w:eastAsia="仿宋_GB2312" w:hAnsi="华文楷体" w:hint="eastAsia"/>
          <w:sz w:val="32"/>
          <w:szCs w:val="32"/>
        </w:rPr>
        <w:fldChar w:fldCharType="separate"/>
      </w:r>
      <w:r>
        <w:rPr>
          <w:rFonts w:ascii="仿宋_GB2312" w:eastAsia="仿宋_GB2312" w:hAnsi="华文楷体" w:hint="eastAsia"/>
          <w:sz w:val="32"/>
          <w:szCs w:val="32"/>
        </w:rPr>
        <w:t>9.</w:t>
      </w:r>
      <w:r>
        <w:rPr>
          <w:rFonts w:ascii="仿宋_GB2312" w:eastAsia="仿宋_GB2312" w:hAnsi="华文楷体" w:hint="eastAsia"/>
          <w:sz w:val="32"/>
          <w:szCs w:val="32"/>
        </w:rPr>
        <w:fldChar w:fldCharType="end"/>
      </w:r>
      <w:r>
        <w:rPr>
          <w:rFonts w:ascii="仿宋_GB2312" w:eastAsia="仿宋_GB2312" w:hAnsi="华文楷体" w:hint="eastAsia"/>
          <w:sz w:val="32"/>
          <w:szCs w:val="32"/>
        </w:rPr>
        <w:t>《关于中央企业国有产权协议转让有关事项的通知》（</w:t>
      </w:r>
      <w:proofErr w:type="gramStart"/>
      <w:r>
        <w:rPr>
          <w:rFonts w:ascii="仿宋_GB2312" w:eastAsia="仿宋_GB2312" w:hAnsi="华文楷体" w:hint="eastAsia"/>
          <w:sz w:val="32"/>
          <w:szCs w:val="32"/>
        </w:rPr>
        <w:t>国资发产权</w:t>
      </w:r>
      <w:proofErr w:type="gramEnd"/>
      <w:r>
        <w:rPr>
          <w:rFonts w:ascii="仿宋_GB2312" w:eastAsia="仿宋_GB2312" w:hAnsi="华文楷体" w:hint="eastAsia"/>
          <w:sz w:val="32"/>
          <w:szCs w:val="32"/>
        </w:rPr>
        <w:t>[2010]11号）；</w:t>
      </w:r>
    </w:p>
    <w:p w:rsidR="002F7E61" w:rsidRDefault="002F7E61" w:rsidP="002F7E61">
      <w:pPr>
        <w:pStyle w:val="ListParagraph"/>
        <w:adjustRightInd w:val="0"/>
        <w:snapToGrid w:val="0"/>
        <w:spacing w:line="360" w:lineRule="auto"/>
        <w:ind w:firstLine="640"/>
        <w:rPr>
          <w:rFonts w:ascii="华文楷体" w:eastAsia="华文楷体" w:hAnsi="华文楷体"/>
          <w:sz w:val="32"/>
          <w:szCs w:val="32"/>
        </w:rPr>
      </w:pPr>
      <w:r>
        <w:rPr>
          <w:rFonts w:ascii="华文楷体" w:eastAsia="华文楷体" w:hAnsi="华文楷体"/>
          <w:sz w:val="32"/>
          <w:szCs w:val="32"/>
        </w:rPr>
        <w:fldChar w:fldCharType="begin"/>
      </w:r>
      <w:r>
        <w:rPr>
          <w:rFonts w:ascii="华文楷体" w:eastAsia="华文楷体" w:hAnsi="华文楷体" w:hint="eastAsia"/>
          <w:sz w:val="32"/>
          <w:szCs w:val="32"/>
        </w:rPr>
        <w:instrText>= 10 \* GB3</w:instrText>
      </w:r>
      <w:r>
        <w:rPr>
          <w:rFonts w:ascii="华文楷体" w:eastAsia="华文楷体" w:hAnsi="华文楷体"/>
          <w:sz w:val="32"/>
          <w:szCs w:val="32"/>
        </w:rPr>
        <w:fldChar w:fldCharType="separate"/>
      </w:r>
      <w:r>
        <w:rPr>
          <w:rFonts w:ascii="华文楷体" w:eastAsia="华文楷体" w:hAnsi="华文楷体" w:hint="eastAsia"/>
          <w:sz w:val="32"/>
          <w:szCs w:val="32"/>
        </w:rPr>
        <w:t>10.</w:t>
      </w:r>
      <w:r>
        <w:rPr>
          <w:rFonts w:ascii="华文楷体" w:eastAsia="华文楷体" w:hAnsi="华文楷体"/>
          <w:sz w:val="32"/>
          <w:szCs w:val="32"/>
        </w:rPr>
        <w:fldChar w:fldCharType="end"/>
      </w:r>
      <w:r>
        <w:rPr>
          <w:rFonts w:ascii="仿宋_GB2312" w:eastAsia="仿宋_GB2312" w:hAnsi="华文楷体" w:hint="eastAsia"/>
          <w:sz w:val="32"/>
          <w:szCs w:val="32"/>
        </w:rPr>
        <w:t>《中央文化企业国有产权交易操作规则》（</w:t>
      </w:r>
      <w:proofErr w:type="gramStart"/>
      <w:r>
        <w:rPr>
          <w:rFonts w:ascii="仿宋_GB2312" w:eastAsia="仿宋_GB2312" w:hAnsi="华文楷体" w:hint="eastAsia"/>
          <w:sz w:val="32"/>
          <w:szCs w:val="32"/>
        </w:rPr>
        <w:t>财文资</w:t>
      </w:r>
      <w:proofErr w:type="gramEnd"/>
      <w:r>
        <w:rPr>
          <w:rFonts w:ascii="仿宋_GB2312" w:eastAsia="仿宋_GB2312" w:hAnsi="华文楷体" w:hint="eastAsia"/>
          <w:sz w:val="32"/>
          <w:szCs w:val="32"/>
        </w:rPr>
        <w:t>[2013]6号）；</w:t>
      </w:r>
    </w:p>
    <w:p w:rsidR="002F7E61" w:rsidRDefault="002F7E61" w:rsidP="002F7E61">
      <w:pPr>
        <w:pStyle w:val="ListParagraph"/>
        <w:adjustRightInd w:val="0"/>
        <w:snapToGrid w:val="0"/>
        <w:spacing w:line="360" w:lineRule="auto"/>
        <w:ind w:firstLine="640"/>
        <w:rPr>
          <w:rFonts w:ascii="仿宋_GB2312" w:eastAsia="仿宋_GB2312" w:hAnsi="华文楷体"/>
          <w:sz w:val="32"/>
          <w:szCs w:val="32"/>
        </w:rPr>
      </w:pPr>
      <w:r>
        <w:rPr>
          <w:rFonts w:ascii="华文楷体" w:eastAsia="华文楷体" w:hAnsi="华文楷体" w:hint="eastAsia"/>
          <w:sz w:val="32"/>
          <w:szCs w:val="32"/>
        </w:rPr>
        <w:t>11.</w:t>
      </w:r>
      <w:r>
        <w:rPr>
          <w:rFonts w:ascii="仿宋_GB2312" w:eastAsia="仿宋_GB2312" w:hAnsi="华文楷体" w:hint="eastAsia"/>
          <w:sz w:val="32"/>
          <w:szCs w:val="32"/>
        </w:rPr>
        <w:t>《关于规范上市公司国有股东行为的若干意见》（</w:t>
      </w:r>
      <w:proofErr w:type="gramStart"/>
      <w:r>
        <w:rPr>
          <w:rFonts w:ascii="仿宋_GB2312" w:eastAsia="仿宋_GB2312" w:hAnsi="华文楷体" w:hint="eastAsia"/>
          <w:sz w:val="32"/>
          <w:szCs w:val="32"/>
        </w:rPr>
        <w:t>国资发产权</w:t>
      </w:r>
      <w:proofErr w:type="gramEnd"/>
      <w:r>
        <w:rPr>
          <w:rFonts w:ascii="仿宋_GB2312" w:eastAsia="仿宋_GB2312" w:hAnsi="华文楷体" w:hint="eastAsia"/>
          <w:sz w:val="32"/>
          <w:szCs w:val="32"/>
        </w:rPr>
        <w:t>[2009]123号）；</w:t>
      </w:r>
    </w:p>
    <w:p w:rsidR="002F7E61" w:rsidRDefault="002F7E61" w:rsidP="002F7E61">
      <w:pPr>
        <w:pStyle w:val="ListParagraph"/>
        <w:adjustRightInd w:val="0"/>
        <w:snapToGrid w:val="0"/>
        <w:spacing w:line="360" w:lineRule="auto"/>
        <w:ind w:firstLine="640"/>
        <w:rPr>
          <w:rFonts w:ascii="仿宋_GB2312" w:eastAsia="仿宋_GB2312" w:hAnsi="华文楷体"/>
          <w:sz w:val="32"/>
          <w:szCs w:val="32"/>
        </w:rPr>
      </w:pPr>
      <w:r>
        <w:rPr>
          <w:rFonts w:ascii="华文楷体" w:eastAsia="华文楷体" w:hAnsi="华文楷体" w:hint="eastAsia"/>
          <w:sz w:val="32"/>
          <w:szCs w:val="32"/>
        </w:rPr>
        <w:t>12.</w:t>
      </w:r>
      <w:r>
        <w:rPr>
          <w:rFonts w:ascii="仿宋_GB2312" w:eastAsia="仿宋_GB2312" w:hAnsi="华文楷体" w:hint="eastAsia"/>
          <w:sz w:val="32"/>
          <w:szCs w:val="32"/>
        </w:rPr>
        <w:t>《关于规范国有股东与上市公司进行资产重组有关事项的通知》（</w:t>
      </w:r>
      <w:proofErr w:type="gramStart"/>
      <w:r>
        <w:rPr>
          <w:rFonts w:ascii="仿宋_GB2312" w:eastAsia="仿宋_GB2312" w:hAnsi="华文楷体" w:hint="eastAsia"/>
          <w:sz w:val="32"/>
          <w:szCs w:val="32"/>
        </w:rPr>
        <w:t>国资发产权</w:t>
      </w:r>
      <w:proofErr w:type="gramEnd"/>
      <w:r>
        <w:rPr>
          <w:rFonts w:ascii="仿宋_GB2312" w:eastAsia="仿宋_GB2312" w:hAnsi="华文楷体" w:hint="eastAsia"/>
          <w:sz w:val="32"/>
          <w:szCs w:val="32"/>
        </w:rPr>
        <w:t>[2009]124号）；</w:t>
      </w:r>
    </w:p>
    <w:p w:rsidR="002F7E61" w:rsidRDefault="002F7E61" w:rsidP="002F7E61">
      <w:pPr>
        <w:pStyle w:val="ListParagraph"/>
        <w:adjustRightInd w:val="0"/>
        <w:snapToGrid w:val="0"/>
        <w:spacing w:line="360" w:lineRule="auto"/>
        <w:ind w:firstLine="640"/>
        <w:rPr>
          <w:rFonts w:ascii="仿宋_GB2312" w:eastAsia="仿宋_GB2312" w:hAnsi="华文楷体"/>
          <w:sz w:val="32"/>
          <w:szCs w:val="32"/>
        </w:rPr>
      </w:pPr>
      <w:r>
        <w:rPr>
          <w:rFonts w:ascii="华文楷体" w:eastAsia="华文楷体" w:hAnsi="华文楷体" w:hint="eastAsia"/>
          <w:sz w:val="32"/>
          <w:szCs w:val="32"/>
        </w:rPr>
        <w:t>13.</w:t>
      </w:r>
      <w:r>
        <w:rPr>
          <w:rFonts w:ascii="仿宋_GB2312" w:eastAsia="仿宋_GB2312" w:hAnsi="华文楷体" w:hint="eastAsia"/>
          <w:sz w:val="32"/>
          <w:szCs w:val="32"/>
        </w:rPr>
        <w:t>《关于规范上市公司国有股东发行可交换公司债券及国有控股上市公司发行证券有关事项的通知》（</w:t>
      </w:r>
      <w:proofErr w:type="gramStart"/>
      <w:r>
        <w:rPr>
          <w:rFonts w:ascii="仿宋_GB2312" w:eastAsia="仿宋_GB2312" w:hAnsi="华文楷体" w:hint="eastAsia"/>
          <w:sz w:val="32"/>
          <w:szCs w:val="32"/>
        </w:rPr>
        <w:t>国资发产权</w:t>
      </w:r>
      <w:proofErr w:type="gramEnd"/>
      <w:r>
        <w:rPr>
          <w:rFonts w:ascii="仿宋_GB2312" w:eastAsia="仿宋_GB2312" w:hAnsi="华文楷体" w:hint="eastAsia"/>
          <w:sz w:val="32"/>
          <w:szCs w:val="32"/>
        </w:rPr>
        <w:t>[2009]125号）；</w:t>
      </w:r>
    </w:p>
    <w:p w:rsidR="002F7E61" w:rsidRDefault="002F7E61" w:rsidP="002F7E61">
      <w:pPr>
        <w:pStyle w:val="ListParagraph"/>
        <w:adjustRightInd w:val="0"/>
        <w:snapToGrid w:val="0"/>
        <w:spacing w:line="360" w:lineRule="auto"/>
        <w:ind w:firstLine="640"/>
        <w:rPr>
          <w:rFonts w:ascii="仿宋_GB2312" w:eastAsia="仿宋_GB2312" w:hAnsi="华文楷体"/>
          <w:sz w:val="32"/>
          <w:szCs w:val="32"/>
        </w:rPr>
      </w:pPr>
      <w:r>
        <w:rPr>
          <w:rFonts w:ascii="仿宋_GB2312" w:eastAsia="仿宋_GB2312" w:hAnsi="华文楷体" w:hint="eastAsia"/>
          <w:sz w:val="32"/>
          <w:szCs w:val="32"/>
        </w:rPr>
        <w:t>14.</w:t>
      </w:r>
      <w:r>
        <w:rPr>
          <w:rFonts w:ascii="仿宋_GB2312" w:eastAsia="仿宋_GB2312" w:hAnsi="华文中宋" w:hint="eastAsia"/>
          <w:sz w:val="32"/>
          <w:szCs w:val="32"/>
        </w:rPr>
        <w:t>其他有关文件。</w:t>
      </w:r>
    </w:p>
    <w:p w:rsidR="002F7E61" w:rsidRDefault="002F7E61" w:rsidP="002F7E61">
      <w:pPr>
        <w:adjustRightInd w:val="0"/>
        <w:snapToGrid w:val="0"/>
        <w:spacing w:line="360" w:lineRule="auto"/>
        <w:ind w:firstLineChars="150" w:firstLine="48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adjustRightInd w:val="0"/>
        <w:snapToGrid w:val="0"/>
        <w:spacing w:line="360" w:lineRule="auto"/>
        <w:ind w:firstLineChars="200" w:firstLine="640"/>
        <w:rPr>
          <w:rFonts w:ascii="仿宋_GB2312" w:eastAsia="仿宋_GB2312" w:hAnsi="楷体"/>
          <w:sz w:val="32"/>
          <w:szCs w:val="32"/>
        </w:rPr>
      </w:pPr>
      <w:r>
        <w:rPr>
          <w:rFonts w:ascii="仿宋_GB2312" w:eastAsia="仿宋_GB2312" w:hAnsi="楷体" w:hint="eastAsia"/>
          <w:sz w:val="32"/>
          <w:szCs w:val="32"/>
        </w:rPr>
        <w:t>熟悉企业产权变动的业务流程和控制要点；熟悉公司增发、配股、发行债券的相关法律、法规等相关规定；熟悉资本市场、上海证券交易所、深圳证券交易所的相关规定；熟练操作资产评估业务。</w:t>
      </w:r>
    </w:p>
    <w:p w:rsidR="002F7E61" w:rsidRDefault="002F7E61" w:rsidP="002F7E61">
      <w:pPr>
        <w:adjustRightInd w:val="0"/>
        <w:snapToGrid w:val="0"/>
        <w:spacing w:line="360" w:lineRule="auto"/>
        <w:ind w:firstLineChars="150" w:firstLine="480"/>
        <w:rPr>
          <w:rFonts w:ascii="仿宋_GB2312" w:eastAsia="仿宋_GB2312" w:hAnsi="楷体"/>
          <w:sz w:val="32"/>
          <w:szCs w:val="32"/>
        </w:rPr>
      </w:pPr>
      <w:r>
        <w:rPr>
          <w:rFonts w:ascii="仿宋_GB2312" w:eastAsia="仿宋_GB2312" w:hAnsi="楷体" w:hint="eastAsia"/>
          <w:sz w:val="32"/>
          <w:szCs w:val="32"/>
        </w:rPr>
        <w:lastRenderedPageBreak/>
        <w:t>五、上市公司并购重组评估业务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1.重大资产重组；</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2.上市公司收购；</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3.资产置换；</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t>4.发行股份购买资产；</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t>5.定向增发；</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t>6.借壳上市。</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adjustRightInd w:val="0"/>
        <w:snapToGrid w:val="0"/>
        <w:spacing w:line="360" w:lineRule="auto"/>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《上市公司重大资产重组管理办法》（证监会令第73号）；</w:t>
      </w:r>
    </w:p>
    <w:p w:rsidR="002F7E61" w:rsidRDefault="002F7E61" w:rsidP="002F7E61">
      <w:pPr>
        <w:pStyle w:val="ListParagraph"/>
        <w:adjustRightInd w:val="0"/>
        <w:snapToGrid w:val="0"/>
        <w:spacing w:line="360" w:lineRule="auto"/>
        <w:ind w:firstLine="640"/>
        <w:outlineLvl w:val="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《上市公司收购管理办法》（证监会令第77号）；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《企业国有资产评估管理暂行办法》（国务院国资委令第12号）；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《金融企业国有资产评估监督管理暂行办法》（财政部令第47号）；</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sz w:val="32"/>
          <w:szCs w:val="32"/>
        </w:rPr>
        <w:t>5.《关于规范上市公司国有股东行为的若干意见》</w:t>
      </w:r>
      <w:r>
        <w:rPr>
          <w:rFonts w:ascii="仿宋_GB2312" w:eastAsia="仿宋_GB2312" w:hAnsi="楷体" w:hint="eastAsia"/>
          <w:sz w:val="32"/>
          <w:szCs w:val="32"/>
        </w:rPr>
        <w:t>（</w:t>
      </w:r>
      <w:proofErr w:type="gramStart"/>
      <w:r>
        <w:rPr>
          <w:rFonts w:ascii="仿宋_GB2312" w:eastAsia="仿宋_GB2312" w:hAnsi="楷体"/>
          <w:sz w:val="32"/>
          <w:szCs w:val="32"/>
        </w:rPr>
        <w:t>国资发产权</w:t>
      </w:r>
      <w:proofErr w:type="gramEnd"/>
      <w:r>
        <w:rPr>
          <w:rFonts w:ascii="仿宋_GB2312" w:eastAsia="仿宋_GB2312" w:hAnsi="楷体"/>
          <w:sz w:val="32"/>
          <w:szCs w:val="32"/>
        </w:rPr>
        <w:t>[2009]123号</w:t>
      </w:r>
      <w:r>
        <w:rPr>
          <w:rFonts w:ascii="仿宋_GB2312" w:eastAsia="仿宋_GB2312" w:hAnsi="楷体" w:hint="eastAsia"/>
          <w:sz w:val="32"/>
          <w:szCs w:val="32"/>
        </w:rPr>
        <w:t>）；</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sz w:val="32"/>
          <w:szCs w:val="32"/>
        </w:rPr>
        <w:lastRenderedPageBreak/>
        <w:t>6.</w:t>
      </w:r>
      <w:r>
        <w:rPr>
          <w:rFonts w:ascii="仿宋_GB2312" w:eastAsia="仿宋_GB2312" w:hAnsi="楷体" w:hint="eastAsia"/>
          <w:sz w:val="32"/>
          <w:szCs w:val="32"/>
        </w:rPr>
        <w:t>《</w:t>
      </w:r>
      <w:r>
        <w:rPr>
          <w:rFonts w:ascii="仿宋_GB2312" w:eastAsia="仿宋_GB2312" w:hAnsi="楷体"/>
          <w:sz w:val="32"/>
          <w:szCs w:val="32"/>
        </w:rPr>
        <w:t>关于规范国有股东与上市公司进行资产重组有关事项的通知</w:t>
      </w:r>
      <w:r>
        <w:rPr>
          <w:rFonts w:ascii="仿宋_GB2312" w:eastAsia="仿宋_GB2312" w:hAnsi="楷体" w:hint="eastAsia"/>
          <w:sz w:val="32"/>
          <w:szCs w:val="32"/>
        </w:rPr>
        <w:t>》（</w:t>
      </w:r>
      <w:proofErr w:type="gramStart"/>
      <w:r>
        <w:rPr>
          <w:rFonts w:ascii="仿宋_GB2312" w:eastAsia="仿宋_GB2312" w:hAnsi="楷体"/>
          <w:sz w:val="32"/>
          <w:szCs w:val="32"/>
        </w:rPr>
        <w:t>国资发产权</w:t>
      </w:r>
      <w:proofErr w:type="gramEnd"/>
      <w:r>
        <w:rPr>
          <w:rFonts w:ascii="仿宋_GB2312" w:eastAsia="仿宋_GB2312" w:hAnsi="楷体"/>
          <w:sz w:val="32"/>
          <w:szCs w:val="32"/>
        </w:rPr>
        <w:t>[2009]124号</w:t>
      </w:r>
      <w:r>
        <w:rPr>
          <w:rFonts w:ascii="仿宋_GB2312" w:eastAsia="仿宋_GB2312" w:hAnsi="楷体" w:hint="eastAsia"/>
          <w:sz w:val="32"/>
          <w:szCs w:val="32"/>
        </w:rPr>
        <w:t>）；</w:t>
      </w:r>
    </w:p>
    <w:p w:rsidR="002F7E61" w:rsidRDefault="002F7E61" w:rsidP="002F7E61">
      <w:pPr>
        <w:adjustRightInd w:val="0"/>
        <w:snapToGrid w:val="0"/>
        <w:spacing w:line="360" w:lineRule="auto"/>
        <w:ind w:firstLineChars="202" w:firstLine="646"/>
        <w:rPr>
          <w:rFonts w:ascii="仿宋_GB2312" w:eastAsia="仿宋_GB2312" w:hAnsi="楷体"/>
          <w:sz w:val="32"/>
          <w:szCs w:val="32"/>
        </w:rPr>
      </w:pPr>
      <w:r>
        <w:rPr>
          <w:rFonts w:ascii="仿宋_GB2312" w:eastAsia="仿宋_GB2312" w:hAnsi="楷体" w:hint="eastAsia"/>
          <w:sz w:val="32"/>
          <w:szCs w:val="32"/>
        </w:rPr>
        <w:t>7.</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熟悉上市公司并购重组流程；熟悉风险管理；熟悉上市公司并购重组的相关法律、法规和政策规定；熟练操作资产评估业务。</w:t>
      </w:r>
    </w:p>
    <w:p w:rsidR="002F7E61" w:rsidRDefault="002F7E61" w:rsidP="002F7E61">
      <w:pPr>
        <w:ind w:firstLineChars="150" w:firstLine="480"/>
        <w:rPr>
          <w:rFonts w:ascii="仿宋_GB2312" w:eastAsia="仿宋_GB2312" w:hAnsi="楷体"/>
          <w:sz w:val="32"/>
          <w:szCs w:val="32"/>
        </w:rPr>
      </w:pPr>
      <w:r>
        <w:rPr>
          <w:rFonts w:ascii="仿宋_GB2312" w:eastAsia="仿宋_GB2312" w:hAnsi="楷体" w:hint="eastAsia"/>
          <w:sz w:val="32"/>
          <w:szCs w:val="32"/>
        </w:rPr>
        <w:t>六、司法</w:t>
      </w:r>
      <w:proofErr w:type="gramStart"/>
      <w:r>
        <w:rPr>
          <w:rFonts w:ascii="仿宋_GB2312" w:eastAsia="仿宋_GB2312" w:hAnsi="楷体" w:hint="eastAsia"/>
          <w:sz w:val="32"/>
          <w:szCs w:val="32"/>
        </w:rPr>
        <w:t>鉴证</w:t>
      </w:r>
      <w:proofErr w:type="gramEnd"/>
      <w:r>
        <w:rPr>
          <w:rFonts w:ascii="仿宋_GB2312" w:eastAsia="仿宋_GB2312" w:hAnsi="楷体" w:hint="eastAsia"/>
          <w:sz w:val="32"/>
          <w:szCs w:val="32"/>
        </w:rPr>
        <w:t>评估业务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资产损害赔偿鉴定评估；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债务纠纷涉及的资产拍卖(变卖)价值鉴定评估；</w:t>
      </w:r>
    </w:p>
    <w:p w:rsidR="002F7E61" w:rsidRDefault="002F7E61" w:rsidP="002F7E61">
      <w:pPr>
        <w:pStyle w:val="ListParagraph"/>
        <w:ind w:firstLine="640"/>
        <w:outlineLvl w:val="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民事案件涉诉标的价值的估算；</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刑事案件定罪量刑中相关损失的估算。</w:t>
      </w:r>
    </w:p>
    <w:p w:rsidR="002F7E61" w:rsidRDefault="002F7E61" w:rsidP="002F7E61">
      <w:pPr>
        <w:pStyle w:val="ListParagraph"/>
        <w:ind w:firstLine="640"/>
        <w:outlineLvl w:val="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《全国人民代表大会常务委员会关于司法鉴定管理问题的决定》；</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《刑事诉讼法》；</w:t>
      </w:r>
      <w:r>
        <w:rPr>
          <w:rFonts w:ascii="仿宋_GB2312" w:eastAsia="仿宋_GB2312" w:hAnsi="楷体"/>
          <w:sz w:val="32"/>
          <w:szCs w:val="32"/>
        </w:rPr>
        <w:t xml:space="preserve"> </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《仲裁法》；</w:t>
      </w:r>
      <w:r>
        <w:rPr>
          <w:rFonts w:ascii="仿宋_GB2312" w:eastAsia="仿宋_GB2312" w:hAnsi="楷体"/>
          <w:sz w:val="32"/>
          <w:szCs w:val="32"/>
        </w:rPr>
        <w:t xml:space="preserve"> </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《司法鉴定程序通则》（司法部令第107号）；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5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5.</w:t>
      </w:r>
      <w:r>
        <w:rPr>
          <w:rFonts w:ascii="仿宋_GB2312" w:eastAsia="仿宋_GB2312" w:hAnsi="楷体" w:hint="eastAsia"/>
          <w:sz w:val="32"/>
          <w:szCs w:val="32"/>
        </w:rPr>
        <w:fldChar w:fldCharType="end"/>
      </w:r>
      <w:r>
        <w:rPr>
          <w:rFonts w:ascii="仿宋_GB2312" w:eastAsia="仿宋_GB2312" w:hAnsi="楷体" w:hint="eastAsia"/>
          <w:sz w:val="32"/>
          <w:szCs w:val="32"/>
        </w:rPr>
        <w:t>《最高人民法院关于人民法院民事执行中拍卖、变卖财产的规定》（法释[2004]16号）；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lastRenderedPageBreak/>
        <w:fldChar w:fldCharType="begin"/>
      </w:r>
      <w:r>
        <w:rPr>
          <w:rFonts w:ascii="仿宋_GB2312" w:eastAsia="仿宋_GB2312" w:hAnsi="楷体" w:hint="eastAsia"/>
          <w:sz w:val="32"/>
          <w:szCs w:val="32"/>
        </w:rPr>
        <w:instrText xml:space="preserve"> = 6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6.</w:t>
      </w:r>
      <w:r>
        <w:rPr>
          <w:rFonts w:ascii="仿宋_GB2312" w:eastAsia="仿宋_GB2312" w:hAnsi="楷体" w:hint="eastAsia"/>
          <w:sz w:val="32"/>
          <w:szCs w:val="32"/>
        </w:rPr>
        <w:fldChar w:fldCharType="end"/>
      </w:r>
      <w:r>
        <w:rPr>
          <w:rFonts w:ascii="仿宋_GB2312" w:eastAsia="仿宋_GB2312" w:hAnsi="楷体" w:hint="eastAsia"/>
          <w:sz w:val="32"/>
          <w:szCs w:val="32"/>
        </w:rPr>
        <w:t>《最高人民法院关于冻结、拍卖上市公司国有股和社会法人股若干问题的规定》（法释[2001]28号）；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7.</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熟悉司法</w:t>
      </w:r>
      <w:proofErr w:type="gramStart"/>
      <w:r>
        <w:rPr>
          <w:rFonts w:ascii="仿宋_GB2312" w:eastAsia="仿宋_GB2312" w:hAnsi="楷体" w:hint="eastAsia"/>
          <w:sz w:val="32"/>
          <w:szCs w:val="32"/>
        </w:rPr>
        <w:t>鉴证</w:t>
      </w:r>
      <w:proofErr w:type="gramEnd"/>
      <w:r>
        <w:rPr>
          <w:rFonts w:ascii="仿宋_GB2312" w:eastAsia="仿宋_GB2312" w:hAnsi="楷体" w:hint="eastAsia"/>
          <w:sz w:val="32"/>
          <w:szCs w:val="32"/>
        </w:rPr>
        <w:t>相关的法律、法规、司法解释、部门规章等规定；熟练操作司法</w:t>
      </w:r>
      <w:proofErr w:type="gramStart"/>
      <w:r>
        <w:rPr>
          <w:rFonts w:ascii="仿宋_GB2312" w:eastAsia="仿宋_GB2312" w:hAnsi="楷体" w:hint="eastAsia"/>
          <w:sz w:val="32"/>
          <w:szCs w:val="32"/>
        </w:rPr>
        <w:t>鉴证</w:t>
      </w:r>
      <w:proofErr w:type="gramEnd"/>
      <w:r>
        <w:rPr>
          <w:rFonts w:ascii="仿宋_GB2312" w:eastAsia="仿宋_GB2312" w:hAnsi="楷体" w:hint="eastAsia"/>
          <w:sz w:val="32"/>
          <w:szCs w:val="32"/>
        </w:rPr>
        <w:t>评估业务。</w:t>
      </w:r>
    </w:p>
    <w:p w:rsidR="002F7E61" w:rsidRDefault="002F7E61" w:rsidP="002F7E61">
      <w:pPr>
        <w:ind w:firstLineChars="150" w:firstLine="480"/>
        <w:rPr>
          <w:rFonts w:ascii="仿宋_GB2312" w:eastAsia="仿宋_GB2312" w:hAnsi="楷体"/>
          <w:sz w:val="32"/>
          <w:szCs w:val="32"/>
        </w:rPr>
      </w:pPr>
      <w:r>
        <w:rPr>
          <w:rFonts w:ascii="仿宋_GB2312" w:eastAsia="仿宋_GB2312" w:hAnsi="楷体" w:hint="eastAsia"/>
          <w:sz w:val="32"/>
          <w:szCs w:val="32"/>
        </w:rPr>
        <w:t>七、服务于会计核算的评估业务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资产或资产组减值测试评估;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非货币性资产公允价值评估;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金融工具公允价值评估;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合并对价分摊评估。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《企业会计准则第8号——资产减值》；</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《企业会计准则第7号——非货币性资产交换》；</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《企业会计准则第22号——金融工具确认和计量》；</w:t>
      </w:r>
    </w:p>
    <w:p w:rsidR="002F7E61" w:rsidRDefault="002F7E61" w:rsidP="002F7E61">
      <w:pPr>
        <w:pStyle w:val="ListParagraph"/>
        <w:ind w:firstLine="640"/>
        <w:outlineLvl w:val="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《企业会计准则第20号——企业合并》；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5.</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熟悉企业会计准则的相关规定；熟悉资产评估业务。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八、海外并购/投资评估业务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lastRenderedPageBreak/>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海外并购；</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海外投资。</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《境外国有资产管理暂行办法》（</w:t>
      </w:r>
      <w:proofErr w:type="gramStart"/>
      <w:r>
        <w:rPr>
          <w:rFonts w:ascii="仿宋_GB2312" w:eastAsia="仿宋_GB2312" w:hAnsi="楷体" w:hint="eastAsia"/>
          <w:sz w:val="32"/>
          <w:szCs w:val="32"/>
        </w:rPr>
        <w:t>财管字</w:t>
      </w:r>
      <w:proofErr w:type="gramEnd"/>
      <w:r>
        <w:rPr>
          <w:rFonts w:ascii="仿宋_GB2312" w:eastAsia="仿宋_GB2312" w:hAnsi="楷体" w:hint="eastAsia"/>
          <w:sz w:val="32"/>
          <w:szCs w:val="32"/>
        </w:rPr>
        <w:t>[1999]311号）；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《中央企业境外国有资产监督管理暂行办法》（国务院国资委令第26号）；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《中央企业境外国有产权管理暂行办法》（国务院国资委令第27号）；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《中央企业境外投资监督管理暂行办法》（国务院国资委令第28号）；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5.</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了解并购/投资业务所在地区的法律、法规；熟练掌握外语；熟悉海外并购/投资业务的评估相关知识和技术。</w:t>
      </w:r>
    </w:p>
    <w:p w:rsidR="002F7E61" w:rsidRDefault="002F7E61" w:rsidP="002F7E61">
      <w:pPr>
        <w:ind w:firstLineChars="150" w:firstLine="480"/>
        <w:rPr>
          <w:rFonts w:ascii="仿宋_GB2312" w:eastAsia="仿宋_GB2312" w:hAnsi="楷体"/>
          <w:sz w:val="32"/>
          <w:szCs w:val="32"/>
        </w:rPr>
      </w:pPr>
      <w:r>
        <w:rPr>
          <w:rFonts w:ascii="仿宋_GB2312" w:eastAsia="仿宋_GB2312" w:hAnsi="楷体" w:hint="eastAsia"/>
          <w:sz w:val="32"/>
          <w:szCs w:val="32"/>
        </w:rPr>
        <w:t>九、PE/VC评估业务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1.PE评估；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2.VC评估。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《国家发展改革委办公厅关于进一步规范试点地区股权投资企业发展和备案管理工作的通知》（发改办财金[2011]253号）。</w:t>
      </w:r>
    </w:p>
    <w:p w:rsidR="002F7E61" w:rsidRDefault="002F7E61" w:rsidP="002F7E61">
      <w:pPr>
        <w:pStyle w:val="ListParagraph"/>
        <w:ind w:firstLine="640"/>
        <w:outlineLvl w:val="0"/>
        <w:rPr>
          <w:rFonts w:ascii="仿宋_GB2312" w:eastAsia="仿宋_GB2312" w:hAnsi="楷体"/>
          <w:sz w:val="32"/>
          <w:szCs w:val="32"/>
        </w:rPr>
      </w:pPr>
      <w:r>
        <w:rPr>
          <w:rFonts w:ascii="仿宋_GB2312" w:eastAsia="仿宋_GB2312" w:hAnsi="楷体" w:hint="eastAsia"/>
          <w:sz w:val="32"/>
          <w:szCs w:val="32"/>
        </w:rPr>
        <w:lastRenderedPageBreak/>
        <w:t>（三）专业胜任能力要求</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了解PE/VC业务特点及相关的法律、法规；熟悉产业投资、风险投资等业务模式及运作机理；熟悉PE/VC业务的评估相关知识和技术。</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十、生态/环境评估业务</w:t>
      </w:r>
    </w:p>
    <w:p w:rsidR="002F7E61" w:rsidRDefault="002F7E61" w:rsidP="002F7E61">
      <w:pPr>
        <w:pStyle w:val="ListParagraph"/>
        <w:ind w:firstLine="640"/>
        <w:outlineLvl w:val="0"/>
        <w:rPr>
          <w:rFonts w:ascii="仿宋_GB2312" w:eastAsia="仿宋_GB2312" w:hAnsi="楷体"/>
          <w:sz w:val="32"/>
          <w:szCs w:val="32"/>
        </w:rPr>
      </w:pPr>
      <w:r>
        <w:rPr>
          <w:rFonts w:ascii="仿宋_GB2312" w:eastAsia="仿宋_GB2312" w:hAnsi="楷体" w:hint="eastAsia"/>
          <w:sz w:val="32"/>
          <w:szCs w:val="32"/>
        </w:rPr>
        <w:t xml:space="preserve"> (</w:t>
      </w:r>
      <w:proofErr w:type="gramStart"/>
      <w:r>
        <w:rPr>
          <w:rFonts w:ascii="仿宋_GB2312" w:eastAsia="仿宋_GB2312" w:hAnsi="楷体" w:hint="eastAsia"/>
          <w:sz w:val="32"/>
          <w:szCs w:val="32"/>
        </w:rPr>
        <w:t>一</w:t>
      </w:r>
      <w:proofErr w:type="gramEnd"/>
      <w:r>
        <w:rPr>
          <w:rFonts w:ascii="仿宋_GB2312" w:eastAsia="仿宋_GB2312" w:hAnsi="楷体" w:hint="eastAsia"/>
          <w:sz w:val="32"/>
          <w:szCs w:val="32"/>
        </w:rPr>
        <w:t>)业务范围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proofErr w:type="gramStart"/>
      <w:r>
        <w:rPr>
          <w:rFonts w:ascii="仿宋_GB2312" w:eastAsia="仿宋_GB2312" w:hAnsi="楷体" w:hint="eastAsia"/>
          <w:sz w:val="32"/>
          <w:szCs w:val="32"/>
        </w:rPr>
        <w:t>碳排放权</w:t>
      </w:r>
      <w:proofErr w:type="gramEnd"/>
      <w:r>
        <w:rPr>
          <w:rFonts w:ascii="仿宋_GB2312" w:eastAsia="仿宋_GB2312" w:hAnsi="楷体" w:hint="eastAsia"/>
          <w:sz w:val="32"/>
          <w:szCs w:val="32"/>
        </w:rPr>
        <w:t>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生态补偿价值评估；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环境损失评估；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森林生态价值评估。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1.《环境影响评价法》；</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2.</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熟悉国家环境保护方面的法律法规；熟悉自然生态、环境保护等方面评估技术。</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十一、税基评估业务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计税价格评估。</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《企业重组业务企业所得税管理办法》（国家税务总局公告第4号）；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lastRenderedPageBreak/>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《财政部 国家税务总局关于企业清算业务企业所得税处理若干问题的通知》（财税[2009]60号）；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《特别纳税调整实施办法（试行）》（国税发[2009]2号）；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4.</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熟悉企业重组业务流程和控制要点；熟悉税务汇算清缴流程和控制要点；熟悉税收相关的法律、法规和政策规定。</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十二、财政资金评价业务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财政资金绩效评价；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国有资本经营预算支出项目绩效评价；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3.中小企业发展专项资金评审。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《财政支出绩效评价管理暂行办法》（财预[2011]285号）；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《加强企业取得和使用财政资金管理的暂行规定》（财办企〔2011〕57号）；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5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《关于完善小额担保贷款财政贴息政策 推动妇女创业就业工作的通知》（财金[2009]72号）；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4.</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lastRenderedPageBreak/>
        <w:t>熟悉财政资金绩效评价管理的相关政策规定；熟悉资金绩效评价和考核的技术和方法。</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十三、企业绩效评价业务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企业绩效评价；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金融企业绩效评价；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现代服务业综合试点工作绩效评价；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上市公司业绩评价。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《中央企业综合绩效评价管理暂行办法》（国务院国资委令第14号）；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《中央企业综合绩效评价实施细则》（国</w:t>
      </w:r>
      <w:proofErr w:type="gramStart"/>
      <w:r>
        <w:rPr>
          <w:rFonts w:ascii="仿宋_GB2312" w:eastAsia="仿宋_GB2312" w:hAnsi="楷体" w:hint="eastAsia"/>
          <w:sz w:val="32"/>
          <w:szCs w:val="32"/>
        </w:rPr>
        <w:t>资发评价</w:t>
      </w:r>
      <w:proofErr w:type="gramEnd"/>
      <w:r>
        <w:rPr>
          <w:rFonts w:ascii="仿宋_GB2312" w:eastAsia="仿宋_GB2312" w:hAnsi="楷体" w:hint="eastAsia"/>
          <w:sz w:val="32"/>
          <w:szCs w:val="32"/>
        </w:rPr>
        <w:t>[2006]157号）；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3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3.</w:t>
      </w:r>
      <w:r>
        <w:rPr>
          <w:rFonts w:ascii="仿宋_GB2312" w:eastAsia="仿宋_GB2312" w:hAnsi="楷体" w:hint="eastAsia"/>
          <w:sz w:val="32"/>
          <w:szCs w:val="32"/>
        </w:rPr>
        <w:fldChar w:fldCharType="end"/>
      </w:r>
      <w:r>
        <w:rPr>
          <w:rFonts w:ascii="仿宋_GB2312" w:eastAsia="仿宋_GB2312" w:hAnsi="楷体" w:hint="eastAsia"/>
          <w:sz w:val="32"/>
          <w:szCs w:val="32"/>
        </w:rPr>
        <w:t>《金融企业绩效评价办法》（财金[2011]50号）；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4.</w:t>
      </w:r>
      <w:r>
        <w:rPr>
          <w:rFonts w:ascii="仿宋_GB2312" w:eastAsia="仿宋_GB2312" w:hAnsi="楷体" w:hint="eastAsia"/>
          <w:sz w:val="32"/>
          <w:szCs w:val="32"/>
        </w:rPr>
        <w:fldChar w:fldCharType="end"/>
      </w:r>
      <w:r>
        <w:rPr>
          <w:rFonts w:ascii="仿宋_GB2312" w:eastAsia="仿宋_GB2312" w:hAnsi="楷体" w:hint="eastAsia"/>
          <w:sz w:val="32"/>
          <w:szCs w:val="32"/>
        </w:rPr>
        <w:t>《现代服务业综合试点工作绩效评价管理办法》(</w:t>
      </w:r>
      <w:proofErr w:type="gramStart"/>
      <w:r>
        <w:rPr>
          <w:rFonts w:ascii="仿宋_GB2312" w:eastAsia="仿宋_GB2312" w:hAnsi="楷体" w:hint="eastAsia"/>
          <w:sz w:val="32"/>
          <w:szCs w:val="32"/>
        </w:rPr>
        <w:t>财建</w:t>
      </w:r>
      <w:proofErr w:type="gramEnd"/>
      <w:r>
        <w:rPr>
          <w:rFonts w:ascii="仿宋_GB2312" w:eastAsia="仿宋_GB2312" w:hAnsi="楷体" w:hint="eastAsia"/>
          <w:sz w:val="32"/>
          <w:szCs w:val="32"/>
        </w:rPr>
        <w:t>[2012]863号)；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5.</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熟悉企业绩效评价管理的相关政策规定；熟悉企业绩效评价和考核的技术和方法。</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十四、企业内控控制评价业务</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lastRenderedPageBreak/>
        <w:t>企业内控控制评价。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（二）业务依据</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1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《企业内部控制基本规范》（财会[2008]7号）；</w:t>
      </w:r>
    </w:p>
    <w:p w:rsidR="002F7E61" w:rsidRDefault="002F7E61" w:rsidP="002F7E61">
      <w:pPr>
        <w:pStyle w:val="ListParagraph"/>
        <w:ind w:firstLine="640"/>
        <w:outlineLvl w:val="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2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2.</w:t>
      </w:r>
      <w:r>
        <w:rPr>
          <w:rFonts w:ascii="仿宋_GB2312" w:eastAsia="仿宋_GB2312" w:hAnsi="楷体" w:hint="eastAsia"/>
          <w:sz w:val="32"/>
          <w:szCs w:val="32"/>
        </w:rPr>
        <w:fldChar w:fldCharType="end"/>
      </w:r>
      <w:r>
        <w:rPr>
          <w:rFonts w:ascii="仿宋_GB2312" w:eastAsia="仿宋_GB2312" w:hAnsi="楷体" w:hint="eastAsia"/>
          <w:sz w:val="32"/>
          <w:szCs w:val="32"/>
        </w:rPr>
        <w:t>《关于印发企业内部控制配套指引的通知》（财会[2010]11号）；</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3.</w:t>
      </w:r>
      <w:r>
        <w:rPr>
          <w:rFonts w:ascii="仿宋_GB2312" w:eastAsia="仿宋_GB2312" w:hAnsi="华文中宋" w:hint="eastAsia"/>
          <w:sz w:val="32"/>
          <w:szCs w:val="32"/>
        </w:rPr>
        <w:t>其他有关文件。</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（三）专业胜任能力要求</w:t>
      </w:r>
    </w:p>
    <w:p w:rsidR="002F7E61" w:rsidRDefault="002F7E61" w:rsidP="002F7E61">
      <w:pPr>
        <w:pStyle w:val="ListParagraph"/>
        <w:ind w:firstLine="640"/>
        <w:rPr>
          <w:rFonts w:ascii="仿宋_GB2312" w:eastAsia="仿宋_GB2312" w:hAnsi="楷体"/>
          <w:sz w:val="32"/>
          <w:szCs w:val="32"/>
        </w:rPr>
      </w:pPr>
      <w:r>
        <w:rPr>
          <w:rFonts w:ascii="仿宋_GB2312" w:eastAsia="仿宋_GB2312" w:hAnsi="楷体" w:hint="eastAsia"/>
          <w:sz w:val="32"/>
          <w:szCs w:val="32"/>
        </w:rPr>
        <w:t>熟悉企业内部控制规范、流程及评价指引。</w:t>
      </w:r>
    </w:p>
    <w:p w:rsidR="002F7E61" w:rsidRDefault="002F7E61" w:rsidP="002F7E61">
      <w:pPr>
        <w:ind w:firstLineChars="200" w:firstLine="640"/>
        <w:rPr>
          <w:rFonts w:ascii="仿宋_GB2312" w:eastAsia="仿宋_GB2312" w:hAnsi="楷体"/>
          <w:b/>
          <w:sz w:val="32"/>
          <w:szCs w:val="32"/>
        </w:rPr>
      </w:pPr>
      <w:r>
        <w:rPr>
          <w:rFonts w:ascii="仿宋_GB2312" w:eastAsia="仿宋_GB2312" w:hAnsi="楷体" w:hint="eastAsia"/>
          <w:sz w:val="32"/>
          <w:szCs w:val="32"/>
        </w:rPr>
        <w:t>十五、管理咨询类业务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（一）业务范围</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1.为政府及其职能部门提供的管理咨询业务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（1）质量信用评估；</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（2）社会组织评估；</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（3）预算绩效管理咨询；</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（4）证券公司合</w:t>
      </w:r>
      <w:proofErr w:type="gramStart"/>
      <w:r>
        <w:rPr>
          <w:rFonts w:ascii="仿宋_GB2312" w:eastAsia="仿宋_GB2312" w:hAnsi="楷体" w:hint="eastAsia"/>
          <w:sz w:val="32"/>
          <w:szCs w:val="32"/>
        </w:rPr>
        <w:t>规</w:t>
      </w:r>
      <w:proofErr w:type="gramEnd"/>
      <w:r>
        <w:rPr>
          <w:rFonts w:ascii="仿宋_GB2312" w:eastAsia="仿宋_GB2312" w:hAnsi="楷体" w:hint="eastAsia"/>
          <w:sz w:val="32"/>
          <w:szCs w:val="32"/>
        </w:rPr>
        <w:t>性评估。</w:t>
      </w:r>
    </w:p>
    <w:p w:rsidR="002F7E61" w:rsidRDefault="002F7E61" w:rsidP="002F7E61">
      <w:pPr>
        <w:ind w:firstLineChars="200" w:firstLine="640"/>
        <w:outlineLvl w:val="0"/>
        <w:rPr>
          <w:rFonts w:ascii="仿宋_GB2312" w:eastAsia="仿宋_GB2312" w:hAnsi="楷体"/>
          <w:sz w:val="32"/>
          <w:szCs w:val="32"/>
        </w:rPr>
      </w:pPr>
      <w:r>
        <w:rPr>
          <w:rFonts w:ascii="仿宋_GB2312" w:eastAsia="仿宋_GB2312" w:hAnsi="楷体" w:hint="eastAsia"/>
          <w:sz w:val="32"/>
          <w:szCs w:val="32"/>
        </w:rPr>
        <w:t>2.为企业日常经营提供的管理咨询业务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fldChar w:fldCharType="begin"/>
      </w:r>
      <w:r>
        <w:rPr>
          <w:rFonts w:ascii="仿宋_GB2312" w:eastAsia="仿宋_GB2312" w:hAnsi="楷体" w:hint="eastAsia"/>
          <w:sz w:val="32"/>
          <w:szCs w:val="32"/>
        </w:rPr>
        <w:instrText xml:space="preserve"> = 4 \* GB3 </w:instrText>
      </w:r>
      <w:r>
        <w:rPr>
          <w:rFonts w:ascii="仿宋_GB2312" w:eastAsia="仿宋_GB2312" w:hAnsi="楷体" w:hint="eastAsia"/>
          <w:sz w:val="32"/>
          <w:szCs w:val="32"/>
        </w:rPr>
        <w:fldChar w:fldCharType="separate"/>
      </w:r>
      <w:r>
        <w:rPr>
          <w:rFonts w:ascii="仿宋_GB2312" w:eastAsia="仿宋_GB2312" w:hAnsi="楷体" w:hint="eastAsia"/>
          <w:sz w:val="32"/>
          <w:szCs w:val="32"/>
        </w:rPr>
        <w:t>（1）</w:t>
      </w:r>
      <w:r>
        <w:rPr>
          <w:rFonts w:ascii="仿宋_GB2312" w:eastAsia="仿宋_GB2312" w:hAnsi="楷体" w:hint="eastAsia"/>
          <w:sz w:val="32"/>
          <w:szCs w:val="32"/>
        </w:rPr>
        <w:fldChar w:fldCharType="end"/>
      </w:r>
      <w:r>
        <w:rPr>
          <w:rFonts w:ascii="仿宋_GB2312" w:eastAsia="仿宋_GB2312" w:hAnsi="楷体" w:hint="eastAsia"/>
          <w:sz w:val="32"/>
          <w:szCs w:val="32"/>
        </w:rPr>
        <w:t>投资项目可行性研究评估、决策分析；</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（2）品牌评价及管理；</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（3）资产管理；</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（4）人力资源管理咨询；</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（5）激励约束机制设计及评价；</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（6）流程重构/重整；</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lastRenderedPageBreak/>
        <w:t>（7）风险管理；</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（8）价值管理；</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（9）战略管理；</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（10）尽职调查。</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3.为企业特定经济行为提供的管理咨询业务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（1）并购重组的交易结构、路径、方案等咨询业务；</w:t>
      </w:r>
    </w:p>
    <w:p w:rsidR="002F7E61" w:rsidRDefault="002F7E61" w:rsidP="002F7E61">
      <w:pPr>
        <w:ind w:firstLineChars="200" w:firstLine="640"/>
        <w:outlineLvl w:val="0"/>
        <w:rPr>
          <w:rFonts w:ascii="仿宋_GB2312" w:eastAsia="仿宋_GB2312" w:hAnsi="楷体"/>
          <w:sz w:val="32"/>
          <w:szCs w:val="32"/>
        </w:rPr>
      </w:pPr>
      <w:r>
        <w:rPr>
          <w:rFonts w:ascii="仿宋_GB2312" w:eastAsia="仿宋_GB2312" w:hAnsi="楷体" w:hint="eastAsia"/>
          <w:sz w:val="32"/>
          <w:szCs w:val="32"/>
        </w:rPr>
        <w:t>（2）并购重组的税收问题咨询；</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（3）破产顾问服务、托管人与接管人服务；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（4）破产诉讼与赔偿管理咨询；</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（5）企业争端分析与调查。</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4.为其他领域提供的管理咨询业务</w:t>
      </w:r>
    </w:p>
    <w:p w:rsidR="002F7E61" w:rsidRDefault="002F7E61" w:rsidP="002F7E61">
      <w:pPr>
        <w:ind w:firstLineChars="200" w:firstLine="640"/>
        <w:outlineLvl w:val="0"/>
        <w:rPr>
          <w:rFonts w:ascii="仿宋_GB2312" w:eastAsia="仿宋_GB2312" w:hAnsi="楷体"/>
          <w:sz w:val="32"/>
          <w:szCs w:val="32"/>
        </w:rPr>
      </w:pPr>
      <w:r>
        <w:rPr>
          <w:rFonts w:ascii="仿宋_GB2312" w:eastAsia="仿宋_GB2312" w:hAnsi="楷体" w:hint="eastAsia"/>
          <w:sz w:val="32"/>
          <w:szCs w:val="32"/>
        </w:rPr>
        <w:t>（1）为农村集体经济组织提供管理咨询；</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（2）工程造价咨询业务；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（3）个人理财服务；</w:t>
      </w:r>
    </w:p>
    <w:p w:rsidR="002F7E61" w:rsidRDefault="002F7E61" w:rsidP="002F7E61">
      <w:pPr>
        <w:ind w:firstLineChars="200" w:firstLine="640"/>
        <w:rPr>
          <w:rFonts w:ascii="仿宋_GB2312" w:eastAsia="仿宋_GB2312" w:hAnsi="楷体"/>
          <w:sz w:val="32"/>
          <w:szCs w:val="32"/>
        </w:rPr>
      </w:pPr>
      <w:r>
        <w:rPr>
          <w:rFonts w:ascii="仿宋_GB2312" w:eastAsia="仿宋_GB2312" w:hAnsi="楷体" w:hint="eastAsia"/>
          <w:sz w:val="32"/>
          <w:szCs w:val="32"/>
        </w:rPr>
        <w:t>（4）安全评估。</w:t>
      </w:r>
    </w:p>
    <w:p w:rsidR="002F7E61" w:rsidRDefault="002F7E61" w:rsidP="002F7E61">
      <w:pPr>
        <w:tabs>
          <w:tab w:val="center" w:pos="4453"/>
        </w:tabs>
        <w:ind w:firstLineChars="200" w:firstLine="640"/>
        <w:outlineLvl w:val="0"/>
        <w:rPr>
          <w:rFonts w:ascii="仿宋_GB2312" w:eastAsia="仿宋_GB2312" w:hAnsi="楷体"/>
          <w:sz w:val="32"/>
          <w:szCs w:val="32"/>
        </w:rPr>
      </w:pPr>
      <w:r>
        <w:rPr>
          <w:rFonts w:ascii="仿宋_GB2312" w:eastAsia="仿宋_GB2312" w:hAnsi="楷体" w:hint="eastAsia"/>
          <w:sz w:val="32"/>
          <w:szCs w:val="32"/>
        </w:rPr>
        <w:t>（二）专业胜任能力要求</w:t>
      </w:r>
      <w:r>
        <w:rPr>
          <w:rFonts w:ascii="仿宋_GB2312" w:eastAsia="仿宋_GB2312" w:hAnsi="楷体" w:hint="eastAsia"/>
          <w:sz w:val="32"/>
          <w:szCs w:val="32"/>
        </w:rPr>
        <w:tab/>
      </w:r>
    </w:p>
    <w:p w:rsidR="002F7E61" w:rsidRDefault="002F7E61" w:rsidP="002F7E61">
      <w:pPr>
        <w:pStyle w:val="ListParagraph"/>
        <w:ind w:firstLine="640"/>
      </w:pPr>
      <w:r>
        <w:rPr>
          <w:rFonts w:ascii="仿宋_GB2312" w:eastAsia="仿宋_GB2312" w:hAnsi="楷体" w:hint="eastAsia"/>
          <w:sz w:val="32"/>
          <w:szCs w:val="32"/>
        </w:rPr>
        <w:t>熟悉政府预算管理、企业管理、财务管理等相关知识；熟悉企业战略管理、内部控制及其风险管理、绩效管理、信息系统管理、市场营销、财务等企业管理实务及其相关的法律、法规、政策规定；熟悉证券公司合</w:t>
      </w:r>
      <w:proofErr w:type="gramStart"/>
      <w:r>
        <w:rPr>
          <w:rFonts w:ascii="仿宋_GB2312" w:eastAsia="仿宋_GB2312" w:hAnsi="楷体" w:hint="eastAsia"/>
          <w:sz w:val="32"/>
          <w:szCs w:val="32"/>
        </w:rPr>
        <w:t>规</w:t>
      </w:r>
      <w:proofErr w:type="gramEnd"/>
      <w:r>
        <w:rPr>
          <w:rFonts w:ascii="仿宋_GB2312" w:eastAsia="仿宋_GB2312" w:hAnsi="楷体" w:hint="eastAsia"/>
          <w:sz w:val="32"/>
          <w:szCs w:val="32"/>
        </w:rPr>
        <w:t>性管理方面的法律法规；熟悉证券公司管理的业务流程；熟悉尽职调查的原则、程序及方法；熟悉国有资产监管的方式及要求。</w:t>
      </w:r>
    </w:p>
    <w:p w:rsidR="002F7E61" w:rsidRPr="002F7E61" w:rsidRDefault="002F7E61" w:rsidP="002F7E61">
      <w:pPr>
        <w:ind w:firstLine="405"/>
      </w:pPr>
    </w:p>
    <w:sectPr w:rsidR="002F7E61" w:rsidRPr="002F7E61" w:rsidSect="0010238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7E61"/>
    <w:rsid w:val="00102387"/>
    <w:rsid w:val="002F7E61"/>
    <w:rsid w:val="00423E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F7E61"/>
    <w:rPr>
      <w:b/>
      <w:bCs/>
    </w:rPr>
  </w:style>
  <w:style w:type="paragraph" w:customStyle="1" w:styleId="ListParagraph">
    <w:name w:val="List Paragraph"/>
    <w:basedOn w:val="a"/>
    <w:uiPriority w:val="34"/>
    <w:qFormat/>
    <w:rsid w:val="002F7E61"/>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1306</Words>
  <Characters>7448</Characters>
  <Application>Microsoft Office Word</Application>
  <DocSecurity>0</DocSecurity>
  <Lines>62</Lines>
  <Paragraphs>17</Paragraphs>
  <ScaleCrop>false</ScaleCrop>
  <Company/>
  <LinksUpToDate>false</LinksUpToDate>
  <CharactersWithSpaces>8737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thinkpad</cp:lastModifiedBy>
  <cp:revision>2</cp:revision>
  <dcterms:created xsi:type="dcterms:W3CDTF">2014-06-06T06:19:00Z</dcterms:created>
  <dcterms:modified xsi:type="dcterms:W3CDTF">2014-06-06T06:26:00Z</dcterms:modified>
</cp:coreProperties>
</file>